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E94D" w14:textId="77777777" w:rsidR="003368C8" w:rsidRDefault="003368C8" w:rsidP="003368C8">
      <w:pPr>
        <w:spacing w:after="0"/>
        <w:jc w:val="center"/>
        <w:rPr>
          <w:rFonts w:ascii="Garamond" w:hAnsi="Garamond"/>
          <w:i/>
          <w:sz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970"/>
        <w:gridCol w:w="6164"/>
      </w:tblGrid>
      <w:tr w:rsidR="00A56F08" w14:paraId="7CD42DC2" w14:textId="77777777" w:rsidTr="00881E36">
        <w:trPr>
          <w:trHeight w:val="3168"/>
          <w:jc w:val="center"/>
        </w:trPr>
        <w:tc>
          <w:tcPr>
            <w:tcW w:w="10754" w:type="dxa"/>
            <w:gridSpan w:val="3"/>
          </w:tcPr>
          <w:p w14:paraId="27CE2B48" w14:textId="77777777" w:rsidR="00B847A3" w:rsidRDefault="00881E36" w:rsidP="00881E36">
            <w:pPr>
              <w:spacing w:before="240"/>
              <w:jc w:val="center"/>
              <w:rPr>
                <w:rFonts w:ascii="Garamond" w:hAnsi="Garamond"/>
                <w:b/>
                <w:i/>
                <w:noProof/>
                <w:sz w:val="40"/>
              </w:rPr>
            </w:pPr>
            <w:r w:rsidRPr="00881E36">
              <w:rPr>
                <w:rFonts w:ascii="Garamond" w:hAnsi="Garamond"/>
                <w:b/>
                <w:i/>
                <w:noProof/>
                <w:sz w:val="40"/>
              </w:rPr>
              <w:drawing>
                <wp:inline distT="0" distB="0" distL="0" distR="0" wp14:anchorId="63265192" wp14:editId="5014360A">
                  <wp:extent cx="2941320" cy="1447800"/>
                  <wp:effectExtent l="0" t="0" r="0" b="0"/>
                  <wp:docPr id="1" name="Picture 1" descr="C:\Users\wandaw\AppData\Local\Microsoft\Windows\INetCache\Content.Outlook\TE97EHGW\CityHal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daw\AppData\Local\Microsoft\Windows\INetCache\Content.Outlook\TE97EHGW\CityHall_bl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1320" cy="1447800"/>
                          </a:xfrm>
                          <a:prstGeom prst="rect">
                            <a:avLst/>
                          </a:prstGeom>
                          <a:noFill/>
                          <a:ln>
                            <a:noFill/>
                          </a:ln>
                        </pic:spPr>
                      </pic:pic>
                    </a:graphicData>
                  </a:graphic>
                </wp:inline>
              </w:drawing>
            </w:r>
          </w:p>
          <w:p w14:paraId="2B5F29D2" w14:textId="77777777" w:rsidR="0059460F" w:rsidRPr="00A56F08" w:rsidRDefault="00987C4C" w:rsidP="00987C4C">
            <w:pPr>
              <w:spacing w:before="240"/>
              <w:jc w:val="center"/>
              <w:rPr>
                <w:rFonts w:ascii="Garamond" w:hAnsi="Garamond"/>
                <w:b/>
                <w:i/>
                <w:noProof/>
                <w:sz w:val="36"/>
              </w:rPr>
            </w:pPr>
            <w:r w:rsidRPr="00B847A3">
              <w:rPr>
                <w:rFonts w:ascii="Garamond" w:hAnsi="Garamond"/>
                <w:b/>
                <w:i/>
                <w:noProof/>
                <w:sz w:val="32"/>
              </w:rPr>
              <w:t>City of Grand Junction, State of Colorado</w:t>
            </w:r>
          </w:p>
        </w:tc>
      </w:tr>
      <w:tr w:rsidR="00805707" w14:paraId="73647E86" w14:textId="77777777" w:rsidTr="00D31F1C">
        <w:trPr>
          <w:jc w:val="center"/>
        </w:trPr>
        <w:tc>
          <w:tcPr>
            <w:tcW w:w="10754" w:type="dxa"/>
            <w:gridSpan w:val="3"/>
          </w:tcPr>
          <w:p w14:paraId="72EC6ED3" w14:textId="77777777" w:rsidR="004E48D4" w:rsidRPr="00031774" w:rsidRDefault="00F87D9B" w:rsidP="0068355E">
            <w:pPr>
              <w:spacing w:after="240"/>
              <w:jc w:val="center"/>
              <w:rPr>
                <w:rFonts w:ascii="Old English Text MT" w:hAnsi="Old English Text MT"/>
                <w:b/>
                <w:color w:val="2B318B"/>
                <w:sz w:val="90"/>
                <w:szCs w:val="90"/>
              </w:rPr>
            </w:pPr>
            <w:r w:rsidRPr="00031774">
              <w:rPr>
                <w:rFonts w:ascii="Old English Text MT" w:hAnsi="Old English Text MT"/>
                <w:b/>
                <w:color w:val="2B318B"/>
                <w:sz w:val="144"/>
                <w:szCs w:val="90"/>
              </w:rPr>
              <w:t>P</w:t>
            </w:r>
            <w:r w:rsidR="0068355E" w:rsidRPr="00031774">
              <w:rPr>
                <w:rFonts w:ascii="Old English Text MT" w:hAnsi="Old English Text MT"/>
                <w:b/>
                <w:color w:val="2B318B"/>
                <w:sz w:val="120"/>
                <w:szCs w:val="120"/>
              </w:rPr>
              <w:t>roclamation</w:t>
            </w:r>
          </w:p>
        </w:tc>
      </w:tr>
      <w:tr w:rsidR="003368C8" w14:paraId="1890D87F" w14:textId="77777777" w:rsidTr="0043758C">
        <w:trPr>
          <w:jc w:val="center"/>
        </w:trPr>
        <w:tc>
          <w:tcPr>
            <w:tcW w:w="1620" w:type="dxa"/>
          </w:tcPr>
          <w:p w14:paraId="7156CDD7"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38606134" w14:textId="77777777" w:rsidR="00F574CC" w:rsidRDefault="00AE2CF5" w:rsidP="005E66F9">
            <w:pPr>
              <w:jc w:val="both"/>
              <w:rPr>
                <w:rFonts w:ascii="Garamond" w:hAnsi="Garamond"/>
                <w:sz w:val="28"/>
              </w:rPr>
            </w:pPr>
            <w:r w:rsidRPr="00AE2CF5">
              <w:rPr>
                <w:rFonts w:ascii="Garamond" w:hAnsi="Garamond"/>
                <w:sz w:val="28"/>
              </w:rPr>
              <w:t>public works professionals focus on infrastructure, facilities and services that are of vital importance to sustainable and resilient communities and to the public health, high quality of life and well-being of the people of Grand Junction, Colorado; and</w:t>
            </w:r>
          </w:p>
          <w:p w14:paraId="3764294A" w14:textId="0A45F1F8" w:rsidR="00AE2CF5" w:rsidRPr="004264F7" w:rsidRDefault="00AE2CF5" w:rsidP="005E66F9">
            <w:pPr>
              <w:jc w:val="both"/>
              <w:rPr>
                <w:rFonts w:ascii="Garamond" w:hAnsi="Garamond"/>
                <w:sz w:val="28"/>
              </w:rPr>
            </w:pPr>
          </w:p>
        </w:tc>
      </w:tr>
      <w:tr w:rsidR="003368C8" w14:paraId="556F5A63" w14:textId="77777777" w:rsidTr="0043758C">
        <w:trPr>
          <w:jc w:val="center"/>
        </w:trPr>
        <w:tc>
          <w:tcPr>
            <w:tcW w:w="1620" w:type="dxa"/>
          </w:tcPr>
          <w:p w14:paraId="07CE4719"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p>
        </w:tc>
        <w:tc>
          <w:tcPr>
            <w:tcW w:w="9134" w:type="dxa"/>
            <w:gridSpan w:val="2"/>
          </w:tcPr>
          <w:p w14:paraId="0F8A3E16" w14:textId="1CF8A7B1" w:rsidR="004A4D79" w:rsidRDefault="00AE2CF5" w:rsidP="00725855">
            <w:pPr>
              <w:jc w:val="both"/>
              <w:rPr>
                <w:rFonts w:ascii="Garamond" w:hAnsi="Garamond"/>
                <w:sz w:val="28"/>
              </w:rPr>
            </w:pPr>
            <w:r w:rsidRPr="00AE2CF5">
              <w:rPr>
                <w:rFonts w:ascii="Garamond" w:hAnsi="Garamond"/>
                <w:sz w:val="28"/>
              </w:rPr>
              <w:t>these infrastructure, facilities and services could not be provided without the dedicated efforts of public works professionals, who are engineers, managers, and employees at all levels of government and the private sector, who are responsible for rebuilding, improving, and protecting our nation’s transportation, water supply, water treatment and solid waste systems, public buildings, and other structures and facilities essential for our citizens; and</w:t>
            </w:r>
          </w:p>
          <w:p w14:paraId="457C87B7" w14:textId="77777777" w:rsidR="005E66F9" w:rsidRPr="004264F7" w:rsidRDefault="005E66F9" w:rsidP="00725855">
            <w:pPr>
              <w:jc w:val="both"/>
              <w:rPr>
                <w:rFonts w:ascii="Garamond" w:hAnsi="Garamond"/>
                <w:sz w:val="28"/>
              </w:rPr>
            </w:pPr>
          </w:p>
        </w:tc>
      </w:tr>
      <w:tr w:rsidR="003368C8" w14:paraId="4F337C5E" w14:textId="77777777" w:rsidTr="0043758C">
        <w:trPr>
          <w:jc w:val="center"/>
        </w:trPr>
        <w:tc>
          <w:tcPr>
            <w:tcW w:w="1620" w:type="dxa"/>
          </w:tcPr>
          <w:p w14:paraId="2BEB58D0"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7EBAFD06" w14:textId="7397E52D" w:rsidR="004A4D79" w:rsidRDefault="00AE2CF5" w:rsidP="005E66F9">
            <w:pPr>
              <w:jc w:val="both"/>
              <w:rPr>
                <w:rFonts w:ascii="Garamond" w:hAnsi="Garamond"/>
                <w:sz w:val="28"/>
              </w:rPr>
            </w:pPr>
            <w:r w:rsidRPr="00AE2CF5">
              <w:rPr>
                <w:rFonts w:ascii="Garamond" w:hAnsi="Garamond"/>
                <w:sz w:val="28"/>
              </w:rPr>
              <w:t>it is in the public interest for the citizens, civic leaders and children in Grand Junction to gain knowledge of and to maintain an ongoing interest and understanding of the importance of public works and public works programs in their respective communities; and</w:t>
            </w:r>
          </w:p>
          <w:p w14:paraId="6689CABC" w14:textId="77777777" w:rsidR="005E66F9" w:rsidRPr="004264F7" w:rsidRDefault="005E66F9" w:rsidP="005E66F9">
            <w:pPr>
              <w:jc w:val="both"/>
              <w:rPr>
                <w:rFonts w:ascii="Garamond" w:hAnsi="Garamond"/>
                <w:sz w:val="28"/>
              </w:rPr>
            </w:pPr>
          </w:p>
        </w:tc>
      </w:tr>
      <w:tr w:rsidR="003368C8" w14:paraId="53B58DE6" w14:textId="77777777" w:rsidTr="0043758C">
        <w:trPr>
          <w:jc w:val="center"/>
        </w:trPr>
        <w:tc>
          <w:tcPr>
            <w:tcW w:w="1620" w:type="dxa"/>
          </w:tcPr>
          <w:p w14:paraId="0536F579"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6227E0E0" w14:textId="4F871CE9" w:rsidR="00F574CC" w:rsidRDefault="00AE2CF5" w:rsidP="00F574CC">
            <w:pPr>
              <w:jc w:val="both"/>
              <w:rPr>
                <w:rFonts w:ascii="Garamond" w:hAnsi="Garamond"/>
                <w:sz w:val="28"/>
              </w:rPr>
            </w:pPr>
            <w:r w:rsidRPr="00AE2CF5">
              <w:rPr>
                <w:rFonts w:ascii="Garamond" w:hAnsi="Garamond"/>
                <w:sz w:val="28"/>
              </w:rPr>
              <w:t>the year 2023 marks the 63rd annual National Public Works Week sponsored by the American Public Works Association/Canadian Public Works Association</w:t>
            </w:r>
            <w:r w:rsidR="008C6F2D">
              <w:rPr>
                <w:rFonts w:ascii="Garamond" w:hAnsi="Garamond"/>
                <w:sz w:val="28"/>
              </w:rPr>
              <w:t>.</w:t>
            </w:r>
          </w:p>
          <w:p w14:paraId="7EDF3307" w14:textId="77777777" w:rsidR="005E66F9" w:rsidRPr="004264F7" w:rsidRDefault="005E66F9" w:rsidP="00725855">
            <w:pPr>
              <w:jc w:val="both"/>
              <w:rPr>
                <w:rFonts w:ascii="Garamond" w:hAnsi="Garamond"/>
                <w:sz w:val="28"/>
              </w:rPr>
            </w:pPr>
          </w:p>
        </w:tc>
      </w:tr>
      <w:tr w:rsidR="005E66F9" w:rsidRPr="004264F7" w14:paraId="20841890" w14:textId="77777777" w:rsidTr="001B3D9C">
        <w:trPr>
          <w:jc w:val="center"/>
        </w:trPr>
        <w:tc>
          <w:tcPr>
            <w:tcW w:w="1620" w:type="dxa"/>
          </w:tcPr>
          <w:p w14:paraId="076193EF" w14:textId="57EB018A" w:rsidR="005E66F9" w:rsidRPr="004358FE" w:rsidRDefault="005E66F9" w:rsidP="001B3D9C">
            <w:pPr>
              <w:rPr>
                <w:rFonts w:ascii="Old English Text MT" w:hAnsi="Old English Text MT"/>
                <w:b/>
                <w:color w:val="2B318B"/>
                <w:sz w:val="36"/>
              </w:rPr>
            </w:pPr>
          </w:p>
        </w:tc>
        <w:tc>
          <w:tcPr>
            <w:tcW w:w="9134" w:type="dxa"/>
            <w:gridSpan w:val="2"/>
          </w:tcPr>
          <w:p w14:paraId="3017EA4B" w14:textId="77777777" w:rsidR="005E66F9" w:rsidRPr="004264F7" w:rsidRDefault="005E66F9" w:rsidP="001B3D9C">
            <w:pPr>
              <w:jc w:val="both"/>
              <w:rPr>
                <w:rFonts w:ascii="Garamond" w:hAnsi="Garamond"/>
                <w:sz w:val="28"/>
              </w:rPr>
            </w:pPr>
          </w:p>
        </w:tc>
      </w:tr>
      <w:tr w:rsidR="003368C8" w14:paraId="058E97EB" w14:textId="77777777" w:rsidTr="00F87D9B">
        <w:trPr>
          <w:jc w:val="center"/>
        </w:trPr>
        <w:tc>
          <w:tcPr>
            <w:tcW w:w="10754" w:type="dxa"/>
            <w:gridSpan w:val="3"/>
          </w:tcPr>
          <w:p w14:paraId="06AF1393" w14:textId="35FEF21C" w:rsidR="003368C8" w:rsidRPr="004B0582" w:rsidRDefault="00A03E62" w:rsidP="001D6194">
            <w:pPr>
              <w:jc w:val="both"/>
              <w:rPr>
                <w:rFonts w:ascii="Garamond" w:hAnsi="Garamond"/>
                <w:sz w:val="28"/>
              </w:rPr>
            </w:pPr>
            <w:r w:rsidRPr="00BE1D91">
              <w:rPr>
                <w:rFonts w:ascii="Garamond" w:hAnsi="Garamond"/>
                <w:b/>
                <w:sz w:val="28"/>
              </w:rPr>
              <w:t xml:space="preserve">NOW, THEREFORE, </w:t>
            </w:r>
            <w:r w:rsidR="004264F7" w:rsidRPr="004B0582">
              <w:rPr>
                <w:rFonts w:ascii="Garamond" w:hAnsi="Garamond"/>
                <w:sz w:val="28"/>
              </w:rPr>
              <w:t xml:space="preserve">I, </w:t>
            </w:r>
            <w:r w:rsidR="00AE2CF5">
              <w:rPr>
                <w:rFonts w:ascii="Garamond" w:hAnsi="Garamond"/>
                <w:sz w:val="28"/>
              </w:rPr>
              <w:t>Anna Stout</w:t>
            </w:r>
            <w:r w:rsidR="004264F7" w:rsidRPr="004B0582">
              <w:rPr>
                <w:rFonts w:ascii="Garamond" w:hAnsi="Garamond"/>
                <w:sz w:val="28"/>
              </w:rPr>
              <w:t xml:space="preserve">, by the power vested in me as Mayor of the City of Grand Junction, do hereby proclaim </w:t>
            </w:r>
            <w:r w:rsidR="00AE2CF5" w:rsidRPr="00AE2CF5">
              <w:rPr>
                <w:rFonts w:ascii="Garamond" w:hAnsi="Garamond"/>
                <w:sz w:val="28"/>
              </w:rPr>
              <w:t>May 21–27, 2023</w:t>
            </w:r>
            <w:r w:rsidR="009164C6">
              <w:rPr>
                <w:rFonts w:ascii="Garamond" w:hAnsi="Garamond"/>
                <w:sz w:val="28"/>
              </w:rPr>
              <w:t xml:space="preserve"> as</w:t>
            </w:r>
          </w:p>
        </w:tc>
      </w:tr>
      <w:tr w:rsidR="00FA2EE3" w14:paraId="619EC013" w14:textId="77777777" w:rsidTr="00F87D9B">
        <w:trPr>
          <w:jc w:val="center"/>
        </w:trPr>
        <w:tc>
          <w:tcPr>
            <w:tcW w:w="10754" w:type="dxa"/>
            <w:gridSpan w:val="3"/>
          </w:tcPr>
          <w:p w14:paraId="4A66B79C" w14:textId="77777777" w:rsidR="00FA2EE3" w:rsidRPr="005E66F9" w:rsidRDefault="00FA2EE3" w:rsidP="00D558AD">
            <w:pPr>
              <w:jc w:val="both"/>
              <w:rPr>
                <w:rFonts w:ascii="Garamond" w:hAnsi="Garamond"/>
                <w:b/>
                <w:sz w:val="20"/>
                <w:szCs w:val="20"/>
              </w:rPr>
            </w:pPr>
          </w:p>
        </w:tc>
      </w:tr>
      <w:tr w:rsidR="003368C8" w14:paraId="5FF81A50" w14:textId="77777777" w:rsidTr="00F87D9B">
        <w:trPr>
          <w:jc w:val="center"/>
        </w:trPr>
        <w:tc>
          <w:tcPr>
            <w:tcW w:w="10754" w:type="dxa"/>
            <w:gridSpan w:val="3"/>
          </w:tcPr>
          <w:p w14:paraId="223B8207" w14:textId="45A54D3E" w:rsidR="003368C8" w:rsidRPr="004358FE" w:rsidRDefault="004264F7" w:rsidP="005E66F9">
            <w:pPr>
              <w:jc w:val="center"/>
              <w:rPr>
                <w:rFonts w:ascii="Old English Text MT" w:hAnsi="Old English Text MT"/>
                <w:b/>
                <w:i/>
                <w:color w:val="2B318B"/>
                <w:sz w:val="40"/>
              </w:rPr>
            </w:pPr>
            <w:r w:rsidRPr="004358FE">
              <w:rPr>
                <w:rFonts w:ascii="Old English Text MT" w:hAnsi="Old English Text MT"/>
                <w:b/>
                <w:i/>
                <w:color w:val="2B318B"/>
                <w:sz w:val="40"/>
              </w:rPr>
              <w:t>“</w:t>
            </w:r>
            <w:r w:rsidR="00AE2CF5">
              <w:rPr>
                <w:rFonts w:ascii="Old English Text MT" w:hAnsi="Old English Text MT"/>
                <w:b/>
                <w:i/>
                <w:color w:val="2B318B"/>
                <w:sz w:val="40"/>
              </w:rPr>
              <w:t>National Public Works Week</w:t>
            </w:r>
            <w:r w:rsidRPr="004358FE">
              <w:rPr>
                <w:rFonts w:ascii="Old English Text MT" w:hAnsi="Old English Text MT"/>
                <w:b/>
                <w:i/>
                <w:color w:val="2B318B"/>
                <w:sz w:val="40"/>
              </w:rPr>
              <w:t>”</w:t>
            </w:r>
          </w:p>
        </w:tc>
      </w:tr>
      <w:tr w:rsidR="00FA2EE3" w14:paraId="0E64D2AE" w14:textId="77777777" w:rsidTr="00F87D9B">
        <w:trPr>
          <w:jc w:val="center"/>
        </w:trPr>
        <w:tc>
          <w:tcPr>
            <w:tcW w:w="10754" w:type="dxa"/>
            <w:gridSpan w:val="3"/>
          </w:tcPr>
          <w:p w14:paraId="4C164BC0" w14:textId="77777777" w:rsidR="00FA2EE3" w:rsidRPr="005E66F9" w:rsidRDefault="00FA2EE3" w:rsidP="00D558AD">
            <w:pPr>
              <w:jc w:val="both"/>
              <w:rPr>
                <w:rFonts w:ascii="Garamond" w:hAnsi="Garamond"/>
                <w:b/>
                <w:sz w:val="20"/>
                <w:szCs w:val="20"/>
              </w:rPr>
            </w:pPr>
          </w:p>
        </w:tc>
      </w:tr>
      <w:tr w:rsidR="003368C8" w14:paraId="234A07D2" w14:textId="77777777" w:rsidTr="00F87D9B">
        <w:trPr>
          <w:jc w:val="center"/>
        </w:trPr>
        <w:tc>
          <w:tcPr>
            <w:tcW w:w="10754" w:type="dxa"/>
            <w:gridSpan w:val="3"/>
          </w:tcPr>
          <w:p w14:paraId="4CF30D17" w14:textId="414E915A" w:rsidR="003368C8" w:rsidRPr="004B0582" w:rsidRDefault="004A4D79" w:rsidP="005E66F9">
            <w:pPr>
              <w:jc w:val="both"/>
              <w:rPr>
                <w:rFonts w:ascii="Garamond" w:hAnsi="Garamond"/>
                <w:sz w:val="28"/>
              </w:rPr>
            </w:pPr>
            <w:r w:rsidRPr="004A4D79">
              <w:rPr>
                <w:rFonts w:ascii="Garamond" w:hAnsi="Garamond"/>
                <w:sz w:val="28"/>
              </w:rPr>
              <w:t xml:space="preserve">in the City of Grand Junction and </w:t>
            </w:r>
            <w:r w:rsidR="00AE2CF5" w:rsidRPr="00AE2CF5">
              <w:rPr>
                <w:rFonts w:ascii="Garamond" w:hAnsi="Garamond"/>
                <w:sz w:val="28"/>
              </w:rPr>
              <w:t>urge all citizens to join with representatives of the American Public Works Association and government agencies in activities, events, and ceremonies designed to pay tribute to our public works professionals, engineers, managers, and employees and to recognize the substantial contributions they make to protecting our national health, safety, and quality of life.</w:t>
            </w:r>
          </w:p>
        </w:tc>
      </w:tr>
      <w:tr w:rsidR="00CD6BCC" w14:paraId="1EB7054F" w14:textId="77777777" w:rsidTr="00F87D9B">
        <w:trPr>
          <w:jc w:val="center"/>
        </w:trPr>
        <w:tc>
          <w:tcPr>
            <w:tcW w:w="10754" w:type="dxa"/>
            <w:gridSpan w:val="3"/>
          </w:tcPr>
          <w:p w14:paraId="6A1ABC4F" w14:textId="77777777" w:rsidR="00CD6BCC" w:rsidRPr="00E97B36" w:rsidRDefault="00CD6BCC" w:rsidP="00D558AD">
            <w:pPr>
              <w:jc w:val="both"/>
              <w:rPr>
                <w:rFonts w:ascii="Garamond" w:hAnsi="Garamond"/>
                <w:b/>
                <w:sz w:val="28"/>
              </w:rPr>
            </w:pPr>
          </w:p>
        </w:tc>
      </w:tr>
      <w:tr w:rsidR="004E48D4" w14:paraId="211C2F47" w14:textId="77777777" w:rsidTr="004E48D4">
        <w:trPr>
          <w:jc w:val="center"/>
        </w:trPr>
        <w:tc>
          <w:tcPr>
            <w:tcW w:w="4590" w:type="dxa"/>
            <w:gridSpan w:val="2"/>
          </w:tcPr>
          <w:p w14:paraId="6E535CAC" w14:textId="77777777" w:rsidR="004E48D4" w:rsidRPr="004B0582" w:rsidRDefault="004E48D4" w:rsidP="004E48D4">
            <w:pPr>
              <w:jc w:val="both"/>
              <w:rPr>
                <w:rFonts w:ascii="Garamond" w:hAnsi="Garamond"/>
                <w:sz w:val="28"/>
              </w:rPr>
            </w:pPr>
          </w:p>
        </w:tc>
        <w:tc>
          <w:tcPr>
            <w:tcW w:w="6164" w:type="dxa"/>
          </w:tcPr>
          <w:p w14:paraId="0F171C70" w14:textId="022D255F" w:rsidR="004E48D4" w:rsidRDefault="004E48D4" w:rsidP="004A4D79">
            <w:pPr>
              <w:jc w:val="both"/>
              <w:rPr>
                <w:rFonts w:ascii="Garamond" w:hAnsi="Garamond"/>
                <w:sz w:val="28"/>
              </w:rPr>
            </w:pPr>
            <w:r w:rsidRPr="004B0582">
              <w:rPr>
                <w:rFonts w:ascii="Garamond" w:hAnsi="Garamond"/>
                <w:sz w:val="28"/>
              </w:rPr>
              <w:t xml:space="preserve">IN WITNESS WHEREOF, I have hereunto set my hand and caused to be affixed the official Seal of the City of Grand Junction this </w:t>
            </w:r>
            <w:r w:rsidR="008C6F2D">
              <w:rPr>
                <w:rFonts w:ascii="Garamond" w:hAnsi="Garamond"/>
                <w:sz w:val="28"/>
              </w:rPr>
              <w:t>17</w:t>
            </w:r>
            <w:r w:rsidR="008C6F2D" w:rsidRPr="008C6F2D">
              <w:rPr>
                <w:rFonts w:ascii="Garamond" w:hAnsi="Garamond"/>
                <w:sz w:val="28"/>
                <w:vertAlign w:val="superscript"/>
              </w:rPr>
              <w:t>th</w:t>
            </w:r>
            <w:r w:rsidR="008C6F2D">
              <w:rPr>
                <w:rFonts w:ascii="Garamond" w:hAnsi="Garamond"/>
                <w:sz w:val="28"/>
              </w:rPr>
              <w:t xml:space="preserve"> </w:t>
            </w:r>
            <w:r w:rsidRPr="004B0582">
              <w:rPr>
                <w:rFonts w:ascii="Garamond" w:hAnsi="Garamond"/>
                <w:sz w:val="28"/>
              </w:rPr>
              <w:t xml:space="preserve">day of </w:t>
            </w:r>
            <w:r w:rsidR="008C6F2D">
              <w:rPr>
                <w:rFonts w:ascii="Garamond" w:hAnsi="Garamond"/>
                <w:sz w:val="28"/>
              </w:rPr>
              <w:t>May</w:t>
            </w:r>
            <w:r w:rsidR="00A86BBA">
              <w:rPr>
                <w:rFonts w:ascii="Garamond" w:hAnsi="Garamond"/>
                <w:sz w:val="28"/>
              </w:rPr>
              <w:t xml:space="preserve"> 20</w:t>
            </w:r>
            <w:r w:rsidR="00F574CC">
              <w:rPr>
                <w:rFonts w:ascii="Garamond" w:hAnsi="Garamond"/>
                <w:sz w:val="28"/>
              </w:rPr>
              <w:t>2</w:t>
            </w:r>
            <w:r w:rsidR="008C6F2D">
              <w:rPr>
                <w:rFonts w:ascii="Garamond" w:hAnsi="Garamond"/>
                <w:sz w:val="28"/>
              </w:rPr>
              <w:t>3</w:t>
            </w:r>
            <w:r w:rsidRPr="004B0582">
              <w:rPr>
                <w:rFonts w:ascii="Garamond" w:hAnsi="Garamond"/>
                <w:sz w:val="28"/>
              </w:rPr>
              <w:t>.</w:t>
            </w:r>
          </w:p>
          <w:p w14:paraId="04AAA22C" w14:textId="77777777" w:rsidR="0043758C" w:rsidRPr="004B0582" w:rsidRDefault="0043758C" w:rsidP="004A4D79">
            <w:pPr>
              <w:jc w:val="both"/>
              <w:rPr>
                <w:rFonts w:ascii="Garamond" w:hAnsi="Garamond"/>
                <w:sz w:val="28"/>
              </w:rPr>
            </w:pPr>
          </w:p>
        </w:tc>
      </w:tr>
      <w:tr w:rsidR="000F7E36" w14:paraId="4AD42703" w14:textId="77777777" w:rsidTr="000F7E36">
        <w:trPr>
          <w:jc w:val="center"/>
        </w:trPr>
        <w:tc>
          <w:tcPr>
            <w:tcW w:w="4590" w:type="dxa"/>
            <w:gridSpan w:val="2"/>
          </w:tcPr>
          <w:p w14:paraId="514E8099" w14:textId="77777777" w:rsidR="000F7E36" w:rsidRDefault="000F7E36" w:rsidP="004E48D4">
            <w:pPr>
              <w:jc w:val="both"/>
              <w:rPr>
                <w:rFonts w:ascii="Garamond" w:hAnsi="Garamond"/>
                <w:b/>
                <w:sz w:val="28"/>
              </w:rPr>
            </w:pPr>
          </w:p>
          <w:p w14:paraId="4BA84433" w14:textId="77777777" w:rsidR="000F7E36" w:rsidRDefault="000F7E36" w:rsidP="004E48D4">
            <w:pPr>
              <w:jc w:val="both"/>
              <w:rPr>
                <w:rFonts w:ascii="Garamond" w:hAnsi="Garamond"/>
                <w:b/>
                <w:sz w:val="28"/>
              </w:rPr>
            </w:pPr>
          </w:p>
        </w:tc>
        <w:tc>
          <w:tcPr>
            <w:tcW w:w="6164" w:type="dxa"/>
          </w:tcPr>
          <w:p w14:paraId="114D3178" w14:textId="77777777" w:rsidR="000F7E36" w:rsidRDefault="000F7E36" w:rsidP="000F7E36">
            <w:pPr>
              <w:jc w:val="center"/>
              <w:rPr>
                <w:rFonts w:ascii="Garamond" w:hAnsi="Garamond"/>
                <w:b/>
                <w:sz w:val="28"/>
                <w:u w:val="single"/>
              </w:rPr>
            </w:pPr>
          </w:p>
          <w:p w14:paraId="596F935F" w14:textId="77777777" w:rsidR="000F7E36" w:rsidRDefault="000F7E36" w:rsidP="000F7E36">
            <w:pPr>
              <w:jc w:val="center"/>
              <w:rPr>
                <w:rFonts w:ascii="Garamond" w:hAnsi="Garamond"/>
                <w:b/>
                <w:sz w:val="28"/>
                <w:u w:val="single"/>
              </w:rPr>
            </w:pPr>
          </w:p>
          <w:p w14:paraId="287587FE" w14:textId="77777777" w:rsidR="000F7E36" w:rsidRDefault="000F7E36" w:rsidP="000F7E36">
            <w:pPr>
              <w:jc w:val="center"/>
              <w:rPr>
                <w:rFonts w:ascii="Garamond" w:hAnsi="Garamond"/>
                <w:b/>
                <w:sz w:val="28"/>
                <w:u w:val="single"/>
              </w:rPr>
            </w:pP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p>
          <w:p w14:paraId="3FEEE501" w14:textId="77777777" w:rsidR="0062160C" w:rsidRPr="000F7E36" w:rsidRDefault="003536DA" w:rsidP="00E65795">
            <w:pPr>
              <w:jc w:val="center"/>
              <w:rPr>
                <w:rFonts w:ascii="Garamond" w:hAnsi="Garamond"/>
                <w:b/>
                <w:sz w:val="28"/>
              </w:rPr>
            </w:pPr>
            <w:r>
              <w:rPr>
                <w:rFonts w:ascii="Garamond" w:hAnsi="Garamond"/>
                <w:b/>
                <w:sz w:val="28"/>
              </w:rPr>
              <w:t>Mayor</w:t>
            </w:r>
          </w:p>
        </w:tc>
      </w:tr>
    </w:tbl>
    <w:p w14:paraId="47E97B27" w14:textId="77777777" w:rsidR="003368C8" w:rsidRPr="003368C8" w:rsidRDefault="003368C8" w:rsidP="003536DA">
      <w:pPr>
        <w:spacing w:after="0"/>
        <w:rPr>
          <w:rFonts w:ascii="Garamond" w:hAnsi="Garamond"/>
          <w:sz w:val="36"/>
        </w:rPr>
      </w:pPr>
    </w:p>
    <w:sectPr w:rsidR="003368C8" w:rsidRPr="003368C8" w:rsidSect="004358FE">
      <w:pgSz w:w="12240" w:h="20160" w:code="5"/>
      <w:pgMar w:top="432" w:right="720" w:bottom="432" w:left="720" w:header="720" w:footer="720" w:gutter="0"/>
      <w:pgBorders w:offsetFrom="page">
        <w:top w:val="thinThickLargeGap" w:sz="24" w:space="24" w:color="2B318B"/>
        <w:left w:val="thinThickLargeGap" w:sz="24" w:space="24" w:color="2B318B"/>
        <w:bottom w:val="thickThinLargeGap" w:sz="24" w:space="24" w:color="2B318B"/>
        <w:right w:val="thickThinLargeGap" w:sz="24" w:space="24" w:color="2B318B"/>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C8"/>
    <w:rsid w:val="0000064A"/>
    <w:rsid w:val="000134A0"/>
    <w:rsid w:val="0001557A"/>
    <w:rsid w:val="00031774"/>
    <w:rsid w:val="00093DA5"/>
    <w:rsid w:val="000B056A"/>
    <w:rsid w:val="000F7DF6"/>
    <w:rsid w:val="000F7E36"/>
    <w:rsid w:val="001377D7"/>
    <w:rsid w:val="001D6194"/>
    <w:rsid w:val="00211EBA"/>
    <w:rsid w:val="00226BB0"/>
    <w:rsid w:val="00294627"/>
    <w:rsid w:val="002B072C"/>
    <w:rsid w:val="002B0F7E"/>
    <w:rsid w:val="003368C8"/>
    <w:rsid w:val="0034209E"/>
    <w:rsid w:val="003536DA"/>
    <w:rsid w:val="00391F08"/>
    <w:rsid w:val="004264F7"/>
    <w:rsid w:val="004358FE"/>
    <w:rsid w:val="0043758C"/>
    <w:rsid w:val="00496F51"/>
    <w:rsid w:val="004A4D79"/>
    <w:rsid w:val="004B0582"/>
    <w:rsid w:val="004E48D4"/>
    <w:rsid w:val="0059460F"/>
    <w:rsid w:val="005A2856"/>
    <w:rsid w:val="005E66F9"/>
    <w:rsid w:val="0062160C"/>
    <w:rsid w:val="0066729F"/>
    <w:rsid w:val="00680368"/>
    <w:rsid w:val="0068355E"/>
    <w:rsid w:val="00714E86"/>
    <w:rsid w:val="00725855"/>
    <w:rsid w:val="007D7549"/>
    <w:rsid w:val="007E5364"/>
    <w:rsid w:val="00805707"/>
    <w:rsid w:val="00881E36"/>
    <w:rsid w:val="008C6F2D"/>
    <w:rsid w:val="009164C6"/>
    <w:rsid w:val="00987C4C"/>
    <w:rsid w:val="00A03E62"/>
    <w:rsid w:val="00A56F08"/>
    <w:rsid w:val="00A86BBA"/>
    <w:rsid w:val="00AE2CF5"/>
    <w:rsid w:val="00B847A3"/>
    <w:rsid w:val="00BA7300"/>
    <w:rsid w:val="00BE1D91"/>
    <w:rsid w:val="00C171E6"/>
    <w:rsid w:val="00CA5FB1"/>
    <w:rsid w:val="00CD6BCC"/>
    <w:rsid w:val="00CD737E"/>
    <w:rsid w:val="00D05E1E"/>
    <w:rsid w:val="00D116B0"/>
    <w:rsid w:val="00D31F1C"/>
    <w:rsid w:val="00D45F67"/>
    <w:rsid w:val="00D558AD"/>
    <w:rsid w:val="00DA0CB7"/>
    <w:rsid w:val="00E241F4"/>
    <w:rsid w:val="00E65795"/>
    <w:rsid w:val="00E67148"/>
    <w:rsid w:val="00E97B36"/>
    <w:rsid w:val="00F00F56"/>
    <w:rsid w:val="00F574CC"/>
    <w:rsid w:val="00F87D9B"/>
    <w:rsid w:val="00FA2EE3"/>
    <w:rsid w:val="00FB032D"/>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26DF"/>
  <w15:chartTrackingRefBased/>
  <w15:docId w15:val="{93C00436-E811-436F-B373-FF2A0FE5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Winkelmann</dc:creator>
  <cp:keywords/>
  <dc:description/>
  <cp:lastModifiedBy>Janet Harrell</cp:lastModifiedBy>
  <cp:revision>4</cp:revision>
  <cp:lastPrinted>2019-02-07T21:53:00Z</cp:lastPrinted>
  <dcterms:created xsi:type="dcterms:W3CDTF">2023-05-09T22:09:00Z</dcterms:created>
  <dcterms:modified xsi:type="dcterms:W3CDTF">2023-05-09T22:13:00Z</dcterms:modified>
</cp:coreProperties>
</file>