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347" w:rsidRPr="00C42347" w:rsidRDefault="00C42347" w:rsidP="00C42347">
      <w:pPr>
        <w:spacing w:line="312" w:lineRule="atLeast"/>
        <w:textAlignment w:val="baseline"/>
        <w:outlineLvl w:val="2"/>
        <w:rPr>
          <w:rFonts w:ascii="Arial" w:eastAsia="Times New Roman" w:hAnsi="Arial" w:cs="Arial"/>
          <w:b/>
          <w:bCs/>
          <w:color w:val="000000"/>
          <w:sz w:val="20"/>
          <w:szCs w:val="20"/>
          <w:lang w:val="en"/>
        </w:rPr>
      </w:pPr>
      <w:bookmarkStart w:id="0" w:name="21.01.130(b)(1)"/>
      <w:r w:rsidRPr="00C42347">
        <w:rPr>
          <w:rFonts w:ascii="Arial" w:eastAsia="Times New Roman" w:hAnsi="Arial" w:cs="Arial"/>
          <w:b/>
          <w:bCs/>
          <w:color w:val="000000"/>
          <w:sz w:val="20"/>
          <w:szCs w:val="20"/>
          <w:lang w:val="en"/>
        </w:rPr>
        <w:t>Planning Commission.</w:t>
      </w:r>
    </w:p>
    <w:p w:rsidR="00A32DD9" w:rsidRPr="00C42347" w:rsidRDefault="00C42347" w:rsidP="00C42347">
      <w:pPr>
        <w:pStyle w:val="p2"/>
        <w:rPr>
          <w:lang w:val="en"/>
        </w:rPr>
      </w:pPr>
      <w:r w:rsidRPr="00C42347">
        <w:rPr>
          <w:lang w:val="en"/>
        </w:rPr>
        <w:t xml:space="preserve"> </w:t>
      </w:r>
      <w:r w:rsidR="00A32DD9" w:rsidRPr="00C42347">
        <w:rPr>
          <w:lang w:val="en"/>
        </w:rPr>
        <w:t>(1)</w:t>
      </w:r>
      <w:bookmarkEnd w:id="0"/>
      <w:r w:rsidR="00A32DD9" w:rsidRPr="00C42347">
        <w:rPr>
          <w:lang w:val="en"/>
        </w:rPr>
        <w:t>    </w:t>
      </w:r>
      <w:r w:rsidR="00A32DD9" w:rsidRPr="00EA30B1">
        <w:rPr>
          <w:b/>
          <w:lang w:val="en"/>
        </w:rPr>
        <w:t>Composition.</w:t>
      </w:r>
      <w:r w:rsidR="00A32DD9" w:rsidRPr="00C42347">
        <w:rPr>
          <w:lang w:val="en"/>
        </w:rPr>
        <w:t xml:space="preserve"> The Planning Commission shall consist of seven regular members and two alternate members. Alternate members shall attend Planning Commission meetings, and shall serve and vote as may be required during the temporary unavailability of any regular member. The City Council shall, at the time of appointment, designate a first alternate and a second alternate; each shall fill in during the temporary absence of a regular member according to the priority.</w:t>
      </w:r>
    </w:p>
    <w:p w:rsidR="00A32DD9" w:rsidRPr="00C42347" w:rsidRDefault="00A32DD9" w:rsidP="00A32DD9">
      <w:pPr>
        <w:pStyle w:val="p2"/>
        <w:rPr>
          <w:lang w:val="en"/>
        </w:rPr>
      </w:pPr>
      <w:bookmarkStart w:id="1" w:name="21.01.130(b)(2)"/>
      <w:r w:rsidRPr="00C42347">
        <w:rPr>
          <w:lang w:val="en"/>
        </w:rPr>
        <w:t>(2)</w:t>
      </w:r>
      <w:bookmarkEnd w:id="1"/>
      <w:r w:rsidRPr="00C42347">
        <w:rPr>
          <w:lang w:val="en"/>
        </w:rPr>
        <w:t>    </w:t>
      </w:r>
      <w:r w:rsidRPr="00EA30B1">
        <w:rPr>
          <w:b/>
          <w:lang w:val="en"/>
        </w:rPr>
        <w:t>Member Qualifications.</w:t>
      </w:r>
      <w:r w:rsidRPr="00C42347">
        <w:rPr>
          <w:lang w:val="en"/>
        </w:rPr>
        <w:t xml:space="preserve"> Regular and alternate members shall be residents of the City of Grand Junction and shall represent the interests of the City as a whole. No member shall be employed by the City, hold any other City office, or be a contractor with the City. The members shall be selected from the fields of engineering, planning, architecture, construction trades, and/or law, and from citizens at large.</w:t>
      </w:r>
    </w:p>
    <w:p w:rsidR="00A32DD9" w:rsidRPr="00C42347" w:rsidRDefault="00A32DD9" w:rsidP="00A32DD9">
      <w:pPr>
        <w:pStyle w:val="p2"/>
        <w:rPr>
          <w:lang w:val="en"/>
        </w:rPr>
      </w:pPr>
      <w:bookmarkStart w:id="2" w:name="21.01.130(b)(3)"/>
      <w:r w:rsidRPr="00C42347">
        <w:rPr>
          <w:lang w:val="en"/>
        </w:rPr>
        <w:t>(3)</w:t>
      </w:r>
      <w:bookmarkEnd w:id="2"/>
      <w:r w:rsidRPr="00C42347">
        <w:rPr>
          <w:lang w:val="en"/>
        </w:rPr>
        <w:t>    </w:t>
      </w:r>
      <w:r w:rsidRPr="00EA30B1">
        <w:rPr>
          <w:b/>
          <w:lang w:val="en"/>
        </w:rPr>
        <w:t>Term.</w:t>
      </w:r>
      <w:r w:rsidRPr="00C42347">
        <w:rPr>
          <w:lang w:val="en"/>
        </w:rPr>
        <w:t xml:space="preserve"> Members shall serve terms of four years. Members are limited to two consecutive terms.</w:t>
      </w:r>
    </w:p>
    <w:p w:rsidR="00A32DD9" w:rsidRPr="00C42347" w:rsidRDefault="00A32DD9" w:rsidP="00A32DD9">
      <w:pPr>
        <w:pStyle w:val="p2"/>
        <w:rPr>
          <w:lang w:val="en"/>
        </w:rPr>
      </w:pPr>
      <w:bookmarkStart w:id="3" w:name="21.01.130(b)(4)"/>
      <w:r w:rsidRPr="00C42347">
        <w:rPr>
          <w:lang w:val="en"/>
        </w:rPr>
        <w:t>(4)</w:t>
      </w:r>
      <w:bookmarkEnd w:id="3"/>
      <w:r w:rsidRPr="00C42347">
        <w:rPr>
          <w:lang w:val="en"/>
        </w:rPr>
        <w:t>    </w:t>
      </w:r>
      <w:r w:rsidRPr="00EA30B1">
        <w:rPr>
          <w:b/>
          <w:lang w:val="en"/>
        </w:rPr>
        <w:t>Vacancies.</w:t>
      </w:r>
      <w:r w:rsidRPr="00C42347">
        <w:rPr>
          <w:lang w:val="en"/>
        </w:rPr>
        <w:t xml:space="preserve"> When there is a vacancy among the regular members of the Commission, the first alternate shall be appointed to fill it, the second alternate shall become the first alternate, and a new second alternate shall be appointed. All vacancies shall be filled by appointment by the City Council. If a member ceases to reside in the City, his/her membership on the Commission shall immediately terminate and an appointment made to fill the unexpired term.</w:t>
      </w:r>
    </w:p>
    <w:p w:rsidR="00A32DD9" w:rsidRPr="00C42347" w:rsidRDefault="00A32DD9" w:rsidP="00A32DD9">
      <w:pPr>
        <w:pStyle w:val="p2"/>
        <w:rPr>
          <w:lang w:val="en"/>
        </w:rPr>
      </w:pPr>
      <w:bookmarkStart w:id="4" w:name="21.01.130(b)(5)"/>
      <w:r w:rsidRPr="00C42347">
        <w:rPr>
          <w:lang w:val="en"/>
        </w:rPr>
        <w:t>(5)</w:t>
      </w:r>
      <w:bookmarkEnd w:id="4"/>
      <w:r w:rsidRPr="00C42347">
        <w:rPr>
          <w:lang w:val="en"/>
        </w:rPr>
        <w:t>    </w:t>
      </w:r>
      <w:r w:rsidRPr="00EA30B1">
        <w:rPr>
          <w:b/>
          <w:lang w:val="en"/>
        </w:rPr>
        <w:t>Removal.</w:t>
      </w:r>
      <w:r w:rsidRPr="00C42347">
        <w:rPr>
          <w:lang w:val="en"/>
        </w:rPr>
        <w:t xml:space="preserve"> Members may be removed after public hearing by the City Council on grounds of inefficiency, neglect of duty, malfeasance or misfeasance in office. The City Council shall make public a written statement of reasons for removal prior to any public hearing seeking removal of a member.</w:t>
      </w:r>
    </w:p>
    <w:p w:rsidR="00A32DD9" w:rsidRPr="00C42347" w:rsidRDefault="00A32DD9" w:rsidP="00A32DD9">
      <w:pPr>
        <w:pStyle w:val="p2"/>
        <w:rPr>
          <w:lang w:val="en"/>
        </w:rPr>
      </w:pPr>
      <w:bookmarkStart w:id="5" w:name="21.01.130(b)(6)"/>
      <w:r w:rsidRPr="00C42347">
        <w:rPr>
          <w:lang w:val="en"/>
        </w:rPr>
        <w:t>(6)</w:t>
      </w:r>
      <w:bookmarkEnd w:id="5"/>
      <w:r w:rsidRPr="00C42347">
        <w:rPr>
          <w:lang w:val="en"/>
        </w:rPr>
        <w:t>    </w:t>
      </w:r>
      <w:r w:rsidRPr="00EA30B1">
        <w:rPr>
          <w:b/>
          <w:lang w:val="en"/>
        </w:rPr>
        <w:t>Meetings.</w:t>
      </w:r>
      <w:r w:rsidRPr="00C42347">
        <w:rPr>
          <w:lang w:val="en"/>
        </w:rPr>
        <w:t xml:space="preserve"> Planning Commission meetings shall be regularly scheduled not fewer than one time per month, provided there are pending items or matters to be brought before the Commission, at a time and place designated annually by resolution of the City Council. Special meetings may be held as provided by rules of procedure adopted by the Commission and/or this code or law. </w:t>
      </w:r>
    </w:p>
    <w:p w:rsidR="00A32DD9" w:rsidRPr="00C42347" w:rsidRDefault="00A32DD9" w:rsidP="00A32DD9">
      <w:pPr>
        <w:pStyle w:val="p2"/>
        <w:rPr>
          <w:lang w:val="en"/>
        </w:rPr>
      </w:pPr>
      <w:bookmarkStart w:id="6" w:name="21.01.130(b)(7)"/>
      <w:r w:rsidRPr="00C42347">
        <w:rPr>
          <w:lang w:val="en"/>
        </w:rPr>
        <w:t>(7)</w:t>
      </w:r>
      <w:bookmarkEnd w:id="6"/>
      <w:r w:rsidRPr="00C42347">
        <w:rPr>
          <w:lang w:val="en"/>
        </w:rPr>
        <w:t>    </w:t>
      </w:r>
      <w:r w:rsidRPr="00EA30B1">
        <w:rPr>
          <w:b/>
          <w:lang w:val="en"/>
        </w:rPr>
        <w:t xml:space="preserve">Voting. </w:t>
      </w:r>
      <w:r w:rsidRPr="00C42347">
        <w:rPr>
          <w:lang w:val="en"/>
        </w:rPr>
        <w:t xml:space="preserve">The presence of four voting members shall constitute a quorum. All recommendations to the City Council and all final decisions of the Planning Commission shall require an affirmative vote of no fewer than four members (a majority of the seven members of the Commission, which may be comprised of regular, or regular plus alternate, members). </w:t>
      </w:r>
    </w:p>
    <w:p w:rsidR="00A32DD9" w:rsidRPr="00C42347" w:rsidRDefault="00A32DD9" w:rsidP="00A32DD9">
      <w:pPr>
        <w:pStyle w:val="p2"/>
        <w:rPr>
          <w:lang w:val="en"/>
        </w:rPr>
      </w:pPr>
      <w:bookmarkStart w:id="7" w:name="21.01.130(b)(8)"/>
      <w:r w:rsidRPr="00C42347">
        <w:rPr>
          <w:lang w:val="en"/>
        </w:rPr>
        <w:t>(8)</w:t>
      </w:r>
      <w:bookmarkEnd w:id="7"/>
      <w:r w:rsidRPr="00C42347">
        <w:rPr>
          <w:lang w:val="en"/>
        </w:rPr>
        <w:t>    </w:t>
      </w:r>
      <w:r w:rsidRPr="00EA30B1">
        <w:rPr>
          <w:b/>
          <w:lang w:val="en"/>
        </w:rPr>
        <w:t>Compensation.</w:t>
      </w:r>
      <w:r w:rsidRPr="00C42347">
        <w:rPr>
          <w:lang w:val="en"/>
        </w:rPr>
        <w:t xml:space="preserve"> Members shall be compensated at a rate established by the City Council by resolution.</w:t>
      </w:r>
    </w:p>
    <w:p w:rsidR="00A32DD9" w:rsidRPr="00C42347" w:rsidRDefault="00A32DD9" w:rsidP="00A32DD9">
      <w:pPr>
        <w:pStyle w:val="p2"/>
        <w:rPr>
          <w:lang w:val="en"/>
        </w:rPr>
      </w:pPr>
      <w:bookmarkStart w:id="8" w:name="21.01.130(b)(9)"/>
      <w:r w:rsidRPr="00C42347">
        <w:rPr>
          <w:lang w:val="en"/>
        </w:rPr>
        <w:t>(9)</w:t>
      </w:r>
      <w:bookmarkEnd w:id="8"/>
      <w:r w:rsidRPr="00C42347">
        <w:rPr>
          <w:lang w:val="en"/>
        </w:rPr>
        <w:t>    </w:t>
      </w:r>
      <w:r w:rsidRPr="00EA30B1">
        <w:rPr>
          <w:b/>
          <w:lang w:val="en"/>
        </w:rPr>
        <w:t>Powers and Duties.</w:t>
      </w:r>
      <w:r w:rsidRPr="00C42347">
        <w:rPr>
          <w:lang w:val="en"/>
        </w:rPr>
        <w:t xml:space="preserve"> Except as otherwise provided by this code, or by ordinance, rule, policy or regulation of the City Council, the Commission shall be governed by § </w:t>
      </w:r>
      <w:hyperlink r:id="rId6" w:tgtFrame="_blank" w:history="1">
        <w:r w:rsidRPr="00C42347">
          <w:rPr>
            <w:rStyle w:val="Hyperlink"/>
            <w:lang w:val="en"/>
          </w:rPr>
          <w:t>31-23-201</w:t>
        </w:r>
      </w:hyperlink>
      <w:r w:rsidRPr="00C42347">
        <w:rPr>
          <w:lang w:val="en"/>
        </w:rPr>
        <w:t xml:space="preserve"> C.R.S., et seq. </w:t>
      </w:r>
      <w:r w:rsidRPr="00C42347">
        <w:rPr>
          <w:lang w:val="en"/>
        </w:rPr>
        <w:lastRenderedPageBreak/>
        <w:t>and shall have the powers provided therein. The Commission’s actions shall be governed by the procedures set forth in this code, and/or law, ordinance, rule, regulation or policy of the City Council. The powers and duties of the Planning Commission include, but are not limited to:</w:t>
      </w:r>
    </w:p>
    <w:p w:rsidR="00A32DD9" w:rsidRPr="00C42347" w:rsidRDefault="00A32DD9" w:rsidP="00A32DD9">
      <w:pPr>
        <w:pStyle w:val="p3"/>
        <w:rPr>
          <w:lang w:val="en"/>
        </w:rPr>
      </w:pPr>
      <w:bookmarkStart w:id="9" w:name="21.01.130(b)(9)(i)"/>
      <w:r w:rsidRPr="00C42347">
        <w:rPr>
          <w:lang w:val="en"/>
        </w:rPr>
        <w:t>(</w:t>
      </w:r>
      <w:proofErr w:type="spellStart"/>
      <w:r w:rsidRPr="00C42347">
        <w:rPr>
          <w:lang w:val="en"/>
        </w:rPr>
        <w:t>i</w:t>
      </w:r>
      <w:proofErr w:type="spellEnd"/>
      <w:r w:rsidRPr="00C42347">
        <w:rPr>
          <w:lang w:val="en"/>
        </w:rPr>
        <w:t>)</w:t>
      </w:r>
      <w:bookmarkEnd w:id="9"/>
      <w:r w:rsidRPr="00C42347">
        <w:rPr>
          <w:lang w:val="en"/>
        </w:rPr>
        <w:t>    Provide a recommendation to the City Council on adoption of or amendment to any of the following:</w:t>
      </w:r>
    </w:p>
    <w:p w:rsidR="00A32DD9" w:rsidRPr="00C42347" w:rsidRDefault="00A32DD9" w:rsidP="00A32DD9">
      <w:pPr>
        <w:pStyle w:val="p4"/>
        <w:rPr>
          <w:lang w:val="en"/>
        </w:rPr>
      </w:pPr>
      <w:bookmarkStart w:id="10" w:name="21.01.130(b)(9)(i)(A)"/>
      <w:r w:rsidRPr="00C42347">
        <w:rPr>
          <w:lang w:val="en"/>
        </w:rPr>
        <w:t>(A)</w:t>
      </w:r>
      <w:bookmarkEnd w:id="10"/>
      <w:r w:rsidRPr="00C42347">
        <w:rPr>
          <w:lang w:val="en"/>
        </w:rPr>
        <w:t>    Comprehensive Plan;</w:t>
      </w:r>
    </w:p>
    <w:p w:rsidR="00A32DD9" w:rsidRPr="00C42347" w:rsidRDefault="00A32DD9" w:rsidP="00A32DD9">
      <w:pPr>
        <w:pStyle w:val="p4"/>
        <w:rPr>
          <w:lang w:val="en"/>
        </w:rPr>
      </w:pPr>
      <w:bookmarkStart w:id="11" w:name="21.01.130(b)(9)(i)(B)"/>
      <w:r w:rsidRPr="00C42347">
        <w:rPr>
          <w:lang w:val="en"/>
        </w:rPr>
        <w:t>(B)</w:t>
      </w:r>
      <w:bookmarkEnd w:id="11"/>
      <w:r w:rsidRPr="00C42347">
        <w:rPr>
          <w:lang w:val="en"/>
        </w:rPr>
        <w:t>    Area, Corridor, neighborhood, Circulation or traffic plan;</w:t>
      </w:r>
    </w:p>
    <w:p w:rsidR="00A32DD9" w:rsidRPr="00C42347" w:rsidRDefault="00A32DD9" w:rsidP="00A32DD9">
      <w:pPr>
        <w:pStyle w:val="p4"/>
        <w:rPr>
          <w:lang w:val="en"/>
        </w:rPr>
      </w:pPr>
      <w:bookmarkStart w:id="12" w:name="21.01.130(b)(9)(i)(C)"/>
      <w:r w:rsidRPr="00C42347">
        <w:rPr>
          <w:lang w:val="en"/>
        </w:rPr>
        <w:t>(C)</w:t>
      </w:r>
      <w:bookmarkEnd w:id="12"/>
      <w:r w:rsidRPr="00C42347">
        <w:rPr>
          <w:lang w:val="en"/>
        </w:rPr>
        <w:t>    Code provision;</w:t>
      </w:r>
    </w:p>
    <w:p w:rsidR="00A32DD9" w:rsidRPr="00C42347" w:rsidRDefault="00A32DD9" w:rsidP="00A32DD9">
      <w:pPr>
        <w:pStyle w:val="p4"/>
        <w:rPr>
          <w:lang w:val="en"/>
        </w:rPr>
      </w:pPr>
      <w:bookmarkStart w:id="13" w:name="21.01.130(b)(9)(i)(D)"/>
      <w:bookmarkStart w:id="14" w:name="_GoBack"/>
      <w:bookmarkEnd w:id="14"/>
      <w:r w:rsidRPr="00C42347">
        <w:rPr>
          <w:lang w:val="en"/>
        </w:rPr>
        <w:t>(D)</w:t>
      </w:r>
      <w:bookmarkEnd w:id="13"/>
      <w:r w:rsidRPr="00C42347">
        <w:rPr>
          <w:lang w:val="en"/>
        </w:rPr>
        <w:t>    Zoning;</w:t>
      </w:r>
    </w:p>
    <w:p w:rsidR="00A32DD9" w:rsidRPr="00C42347" w:rsidRDefault="00A32DD9" w:rsidP="00A32DD9">
      <w:pPr>
        <w:pStyle w:val="p4"/>
        <w:rPr>
          <w:lang w:val="en"/>
        </w:rPr>
      </w:pPr>
      <w:bookmarkStart w:id="15" w:name="21.01.130(b)(9)(i)(E)"/>
      <w:r w:rsidRPr="00C42347">
        <w:rPr>
          <w:lang w:val="en"/>
        </w:rPr>
        <w:t>(E)</w:t>
      </w:r>
      <w:bookmarkEnd w:id="15"/>
      <w:r w:rsidRPr="00C42347">
        <w:rPr>
          <w:lang w:val="en"/>
        </w:rPr>
        <w:t>    Review fee;</w:t>
      </w:r>
    </w:p>
    <w:p w:rsidR="00A32DD9" w:rsidRPr="00C42347" w:rsidRDefault="00A32DD9" w:rsidP="00A32DD9">
      <w:pPr>
        <w:pStyle w:val="p4"/>
        <w:rPr>
          <w:lang w:val="en"/>
        </w:rPr>
      </w:pPr>
      <w:bookmarkStart w:id="16" w:name="21.01.130(b)(9)(i)(F)"/>
      <w:r w:rsidRPr="00C42347">
        <w:rPr>
          <w:lang w:val="en"/>
        </w:rPr>
        <w:t>(F)</w:t>
      </w:r>
      <w:bookmarkEnd w:id="16"/>
      <w:r w:rsidRPr="00C42347">
        <w:rPr>
          <w:lang w:val="en"/>
        </w:rPr>
        <w:t>    Impact fee.</w:t>
      </w:r>
    </w:p>
    <w:p w:rsidR="00A32DD9" w:rsidRPr="00C42347" w:rsidRDefault="00A32DD9" w:rsidP="00A32DD9">
      <w:pPr>
        <w:pStyle w:val="p3"/>
        <w:rPr>
          <w:lang w:val="en"/>
        </w:rPr>
      </w:pPr>
      <w:bookmarkStart w:id="17" w:name="21.01.130(b)(9)(ii)"/>
      <w:r w:rsidRPr="00C42347">
        <w:rPr>
          <w:lang w:val="en"/>
        </w:rPr>
        <w:t>(ii)</w:t>
      </w:r>
      <w:bookmarkEnd w:id="17"/>
      <w:r w:rsidRPr="00C42347">
        <w:rPr>
          <w:lang w:val="en"/>
        </w:rPr>
        <w:t>    Hear and make a recommendation to the City Council upon any request for a:</w:t>
      </w:r>
    </w:p>
    <w:p w:rsidR="00A32DD9" w:rsidRPr="00C42347" w:rsidRDefault="00A32DD9" w:rsidP="00A32DD9">
      <w:pPr>
        <w:pStyle w:val="p4"/>
        <w:rPr>
          <w:lang w:val="en"/>
        </w:rPr>
      </w:pPr>
      <w:bookmarkStart w:id="18" w:name="21.01.130(b)(9)(ii)(A)"/>
      <w:r w:rsidRPr="00C42347">
        <w:rPr>
          <w:lang w:val="en"/>
        </w:rPr>
        <w:t>(A)</w:t>
      </w:r>
      <w:bookmarkEnd w:id="18"/>
      <w:r w:rsidRPr="00C42347">
        <w:rPr>
          <w:lang w:val="en"/>
        </w:rPr>
        <w:t>    Vacation of public right-of-way or easement;</w:t>
      </w:r>
    </w:p>
    <w:p w:rsidR="00A32DD9" w:rsidRPr="00C42347" w:rsidRDefault="00A32DD9" w:rsidP="00A32DD9">
      <w:pPr>
        <w:pStyle w:val="p4"/>
        <w:rPr>
          <w:lang w:val="en"/>
        </w:rPr>
      </w:pPr>
      <w:bookmarkStart w:id="19" w:name="21.01.130(b)(9)(ii)(B)"/>
      <w:r w:rsidRPr="00C42347">
        <w:rPr>
          <w:lang w:val="en"/>
        </w:rPr>
        <w:t>(B)</w:t>
      </w:r>
      <w:bookmarkEnd w:id="19"/>
      <w:r w:rsidRPr="00C42347">
        <w:rPr>
          <w:lang w:val="en"/>
        </w:rPr>
        <w:t>    Zoning or change to a zone or zoning map, including planned development zoning;</w:t>
      </w:r>
    </w:p>
    <w:p w:rsidR="00A32DD9" w:rsidRPr="00C42347" w:rsidRDefault="00A32DD9" w:rsidP="00A32DD9">
      <w:pPr>
        <w:pStyle w:val="p4"/>
        <w:rPr>
          <w:lang w:val="en"/>
        </w:rPr>
      </w:pPr>
      <w:bookmarkStart w:id="20" w:name="21.01.130(b)(9)(ii)(C)"/>
      <w:r w:rsidRPr="00C42347">
        <w:rPr>
          <w:lang w:val="en"/>
        </w:rPr>
        <w:t>(C)</w:t>
      </w:r>
      <w:bookmarkEnd w:id="20"/>
      <w:r w:rsidRPr="00C42347">
        <w:rPr>
          <w:lang w:val="en"/>
        </w:rPr>
        <w:t>    Special permit;</w:t>
      </w:r>
    </w:p>
    <w:p w:rsidR="00A32DD9" w:rsidRPr="00C42347" w:rsidRDefault="00A32DD9" w:rsidP="00A32DD9">
      <w:pPr>
        <w:pStyle w:val="p4"/>
        <w:rPr>
          <w:lang w:val="en"/>
        </w:rPr>
      </w:pPr>
      <w:bookmarkStart w:id="21" w:name="21.01.130(b)(9)(ii)(D)"/>
      <w:r w:rsidRPr="00C42347">
        <w:rPr>
          <w:lang w:val="en"/>
        </w:rPr>
        <w:t>(D)</w:t>
      </w:r>
      <w:bookmarkEnd w:id="21"/>
      <w:r w:rsidRPr="00C42347">
        <w:rPr>
          <w:lang w:val="en"/>
        </w:rPr>
        <w:t>    Planned development outline development plan or major amendment thereto;</w:t>
      </w:r>
    </w:p>
    <w:p w:rsidR="00A32DD9" w:rsidRPr="00C42347" w:rsidRDefault="00A32DD9" w:rsidP="00A32DD9">
      <w:pPr>
        <w:pStyle w:val="p4"/>
        <w:rPr>
          <w:lang w:val="en"/>
        </w:rPr>
      </w:pPr>
      <w:bookmarkStart w:id="22" w:name="21.01.130(b)(9)(ii)(E)"/>
      <w:r w:rsidRPr="00C42347">
        <w:rPr>
          <w:lang w:val="en"/>
        </w:rPr>
        <w:t>(E)</w:t>
      </w:r>
      <w:bookmarkEnd w:id="22"/>
      <w:r w:rsidRPr="00C42347">
        <w:rPr>
          <w:lang w:val="en"/>
        </w:rPr>
        <w:t>    Vested right as provided in this code for a site-specific development plan;</w:t>
      </w:r>
    </w:p>
    <w:p w:rsidR="00A32DD9" w:rsidRPr="00C42347" w:rsidRDefault="00A32DD9" w:rsidP="00A32DD9">
      <w:pPr>
        <w:pStyle w:val="p4"/>
        <w:rPr>
          <w:lang w:val="en"/>
        </w:rPr>
      </w:pPr>
      <w:bookmarkStart w:id="23" w:name="21.01.130(b)(9)(ii)(F)"/>
      <w:r w:rsidRPr="00C42347">
        <w:rPr>
          <w:lang w:val="en"/>
        </w:rPr>
        <w:t>(F)</w:t>
      </w:r>
      <w:bookmarkEnd w:id="23"/>
      <w:r w:rsidRPr="00C42347">
        <w:rPr>
          <w:lang w:val="en"/>
        </w:rPr>
        <w:t>    Sewer variance.</w:t>
      </w:r>
    </w:p>
    <w:p w:rsidR="00A32DD9" w:rsidRPr="00C42347" w:rsidRDefault="00A32DD9" w:rsidP="00A32DD9">
      <w:pPr>
        <w:pStyle w:val="p3"/>
        <w:rPr>
          <w:lang w:val="en"/>
        </w:rPr>
      </w:pPr>
      <w:bookmarkStart w:id="24" w:name="21.01.130(b)(9)(iii)"/>
      <w:r w:rsidRPr="00C42347">
        <w:rPr>
          <w:lang w:val="en"/>
        </w:rPr>
        <w:t>(iii)</w:t>
      </w:r>
      <w:bookmarkEnd w:id="24"/>
      <w:r w:rsidRPr="00C42347">
        <w:rPr>
          <w:lang w:val="en"/>
        </w:rPr>
        <w:t>    Decide:</w:t>
      </w:r>
    </w:p>
    <w:p w:rsidR="00A32DD9" w:rsidRPr="00C42347" w:rsidRDefault="00A32DD9" w:rsidP="00A32DD9">
      <w:pPr>
        <w:pStyle w:val="p4"/>
        <w:rPr>
          <w:lang w:val="en"/>
        </w:rPr>
      </w:pPr>
      <w:bookmarkStart w:id="25" w:name="21.01.130(b)(9)(iii)(A)"/>
      <w:r w:rsidRPr="00C42347">
        <w:rPr>
          <w:lang w:val="en"/>
        </w:rPr>
        <w:t>(A)</w:t>
      </w:r>
      <w:bookmarkEnd w:id="25"/>
      <w:r w:rsidRPr="00C42347">
        <w:rPr>
          <w:lang w:val="en"/>
        </w:rPr>
        <w:t>    An appeal from an administrative decision as provided in this code;</w:t>
      </w:r>
    </w:p>
    <w:p w:rsidR="00A32DD9" w:rsidRPr="00C42347" w:rsidRDefault="00A32DD9" w:rsidP="00A32DD9">
      <w:pPr>
        <w:pStyle w:val="p4"/>
        <w:rPr>
          <w:lang w:val="en"/>
        </w:rPr>
      </w:pPr>
      <w:bookmarkStart w:id="26" w:name="21.01.130(b)(9)(iii)(B)"/>
      <w:r w:rsidRPr="00C42347">
        <w:rPr>
          <w:lang w:val="en"/>
        </w:rPr>
        <w:t>(B)</w:t>
      </w:r>
      <w:bookmarkEnd w:id="26"/>
      <w:r w:rsidRPr="00C42347">
        <w:rPr>
          <w:lang w:val="en"/>
        </w:rPr>
        <w:t>    Plat vacation;</w:t>
      </w:r>
    </w:p>
    <w:p w:rsidR="00A32DD9" w:rsidRPr="00C42347" w:rsidRDefault="00A32DD9" w:rsidP="00A32DD9">
      <w:pPr>
        <w:pStyle w:val="p4"/>
        <w:rPr>
          <w:lang w:val="en"/>
        </w:rPr>
      </w:pPr>
      <w:bookmarkStart w:id="27" w:name="21.01.130(b)(9)(iii)(C)"/>
      <w:r w:rsidRPr="00C42347">
        <w:rPr>
          <w:lang w:val="en"/>
        </w:rPr>
        <w:t>(C)</w:t>
      </w:r>
      <w:bookmarkEnd w:id="27"/>
      <w:r w:rsidRPr="00C42347">
        <w:rPr>
          <w:lang w:val="en"/>
        </w:rPr>
        <w:t>    Conditional use permit;</w:t>
      </w:r>
    </w:p>
    <w:p w:rsidR="00A32DD9" w:rsidRPr="00C42347" w:rsidRDefault="00A32DD9" w:rsidP="00A32DD9">
      <w:pPr>
        <w:pStyle w:val="p4"/>
        <w:rPr>
          <w:lang w:val="en"/>
        </w:rPr>
      </w:pPr>
      <w:bookmarkStart w:id="28" w:name="21.01.130(b)(9)(iii)(D)"/>
      <w:r w:rsidRPr="00C42347">
        <w:rPr>
          <w:lang w:val="en"/>
        </w:rPr>
        <w:t>(D)</w:t>
      </w:r>
      <w:bookmarkEnd w:id="28"/>
      <w:r w:rsidRPr="00C42347">
        <w:rPr>
          <w:lang w:val="en"/>
        </w:rPr>
        <w:t>    Variance as provided by this code;</w:t>
      </w:r>
    </w:p>
    <w:p w:rsidR="00A32DD9" w:rsidRPr="00C42347" w:rsidRDefault="00A32DD9" w:rsidP="00A32DD9">
      <w:pPr>
        <w:pStyle w:val="p4"/>
        <w:rPr>
          <w:lang w:val="en"/>
        </w:rPr>
      </w:pPr>
      <w:bookmarkStart w:id="29" w:name="21.01.130(b)(9)(iii)(E)"/>
      <w:r w:rsidRPr="00C42347">
        <w:rPr>
          <w:lang w:val="en"/>
        </w:rPr>
        <w:t>(E)</w:t>
      </w:r>
      <w:bookmarkEnd w:id="29"/>
      <w:r w:rsidRPr="00C42347">
        <w:rPr>
          <w:lang w:val="en"/>
        </w:rPr>
        <w:t>    Other tasks as assigned by the City Council.</w:t>
      </w:r>
    </w:p>
    <w:p w:rsidR="00C96C00" w:rsidRPr="00EA30B1" w:rsidRDefault="00EA30B1" w:rsidP="00EA30B1">
      <w:pPr>
        <w:pStyle w:val="note"/>
        <w:rPr>
          <w:lang w:val="en"/>
        </w:rPr>
      </w:pPr>
      <w:r>
        <w:rPr>
          <w:lang w:val="en"/>
        </w:rPr>
        <w:t>(Ord. 4815, 9-5-18</w:t>
      </w:r>
      <w:r w:rsidRPr="00EA30B1">
        <w:rPr>
          <w:lang w:val="en"/>
        </w:rPr>
        <w:t>)</w:t>
      </w:r>
    </w:p>
    <w:sectPr w:rsidR="00C96C00" w:rsidRPr="00EA30B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BC7" w:rsidRDefault="00715BC7" w:rsidP="007C01D5">
      <w:pPr>
        <w:spacing w:after="0" w:line="240" w:lineRule="auto"/>
      </w:pPr>
      <w:r>
        <w:separator/>
      </w:r>
    </w:p>
  </w:endnote>
  <w:endnote w:type="continuationSeparator" w:id="0">
    <w:p w:rsidR="00715BC7" w:rsidRDefault="00715BC7" w:rsidP="007C0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BC7" w:rsidRDefault="00715BC7" w:rsidP="007C01D5">
      <w:pPr>
        <w:spacing w:after="0" w:line="240" w:lineRule="auto"/>
      </w:pPr>
      <w:r>
        <w:separator/>
      </w:r>
    </w:p>
  </w:footnote>
  <w:footnote w:type="continuationSeparator" w:id="0">
    <w:p w:rsidR="00715BC7" w:rsidRDefault="00715BC7" w:rsidP="007C0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FC" w:rsidRDefault="00543DFC" w:rsidP="00543DFC">
    <w:pPr>
      <w:pStyle w:val="Header"/>
    </w:pPr>
    <w:r>
      <w:t>Zoning and Development Code 21.01.130 (b)</w:t>
    </w:r>
  </w:p>
  <w:p w:rsidR="007C01D5" w:rsidRDefault="007C01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DD9"/>
    <w:rsid w:val="00543DFC"/>
    <w:rsid w:val="00715BC7"/>
    <w:rsid w:val="007C01D5"/>
    <w:rsid w:val="007C593F"/>
    <w:rsid w:val="00A037BF"/>
    <w:rsid w:val="00A32DD9"/>
    <w:rsid w:val="00C42347"/>
    <w:rsid w:val="00CE45EB"/>
    <w:rsid w:val="00EA30B1"/>
    <w:rsid w:val="00EE6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2D55"/>
  <w15:chartTrackingRefBased/>
  <w15:docId w15:val="{F1205B56-D86D-409F-99D7-22A248794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2DD9"/>
    <w:rPr>
      <w:color w:val="316170"/>
      <w:u w:val="single"/>
    </w:rPr>
  </w:style>
  <w:style w:type="paragraph" w:customStyle="1" w:styleId="p1">
    <w:name w:val="p1"/>
    <w:basedOn w:val="Normal"/>
    <w:rsid w:val="00A32DD9"/>
    <w:pPr>
      <w:spacing w:after="240" w:line="312" w:lineRule="atLeast"/>
      <w:textAlignment w:val="baseline"/>
    </w:pPr>
    <w:rPr>
      <w:rFonts w:ascii="Arial" w:eastAsia="Times New Roman" w:hAnsi="Arial" w:cs="Arial"/>
      <w:color w:val="000000"/>
      <w:sz w:val="20"/>
      <w:szCs w:val="20"/>
    </w:rPr>
  </w:style>
  <w:style w:type="paragraph" w:customStyle="1" w:styleId="p2">
    <w:name w:val="p2"/>
    <w:basedOn w:val="Normal"/>
    <w:rsid w:val="00A32DD9"/>
    <w:pPr>
      <w:spacing w:after="240" w:line="312" w:lineRule="atLeast"/>
      <w:ind w:left="552"/>
      <w:textAlignment w:val="baseline"/>
    </w:pPr>
    <w:rPr>
      <w:rFonts w:ascii="Arial" w:eastAsia="Times New Roman" w:hAnsi="Arial" w:cs="Arial"/>
      <w:color w:val="000000"/>
      <w:sz w:val="20"/>
      <w:szCs w:val="20"/>
    </w:rPr>
  </w:style>
  <w:style w:type="paragraph" w:customStyle="1" w:styleId="p3">
    <w:name w:val="p3"/>
    <w:basedOn w:val="Normal"/>
    <w:rsid w:val="00A32DD9"/>
    <w:pPr>
      <w:spacing w:after="240" w:line="312" w:lineRule="atLeast"/>
      <w:ind w:left="1032"/>
      <w:textAlignment w:val="baseline"/>
    </w:pPr>
    <w:rPr>
      <w:rFonts w:ascii="Arial" w:eastAsia="Times New Roman" w:hAnsi="Arial" w:cs="Arial"/>
      <w:color w:val="000000"/>
      <w:sz w:val="20"/>
      <w:szCs w:val="20"/>
    </w:rPr>
  </w:style>
  <w:style w:type="paragraph" w:customStyle="1" w:styleId="p4">
    <w:name w:val="p4"/>
    <w:basedOn w:val="Normal"/>
    <w:rsid w:val="00A32DD9"/>
    <w:pPr>
      <w:spacing w:after="240" w:line="312" w:lineRule="atLeast"/>
      <w:ind w:left="1512"/>
      <w:textAlignment w:val="baseline"/>
    </w:pPr>
    <w:rPr>
      <w:rFonts w:ascii="Arial" w:eastAsia="Times New Roman" w:hAnsi="Arial" w:cs="Arial"/>
      <w:color w:val="000000"/>
      <w:sz w:val="20"/>
      <w:szCs w:val="20"/>
    </w:rPr>
  </w:style>
  <w:style w:type="character" w:customStyle="1" w:styleId="bold">
    <w:name w:val="bold"/>
    <w:basedOn w:val="DefaultParagraphFont"/>
    <w:rsid w:val="00A32DD9"/>
    <w:rPr>
      <w:b/>
      <w:bCs/>
    </w:rPr>
  </w:style>
  <w:style w:type="paragraph" w:customStyle="1" w:styleId="note">
    <w:name w:val="note"/>
    <w:basedOn w:val="Normal"/>
    <w:rsid w:val="00EA30B1"/>
    <w:pPr>
      <w:spacing w:before="240" w:after="0" w:line="312" w:lineRule="atLeast"/>
      <w:ind w:left="192" w:hanging="192"/>
      <w:textAlignment w:val="baseline"/>
    </w:pPr>
    <w:rPr>
      <w:rFonts w:ascii="Arial" w:eastAsia="Times New Roman" w:hAnsi="Arial" w:cs="Arial"/>
      <w:color w:val="000000"/>
      <w:sz w:val="19"/>
      <w:szCs w:val="19"/>
    </w:rPr>
  </w:style>
  <w:style w:type="paragraph" w:styleId="BalloonText">
    <w:name w:val="Balloon Text"/>
    <w:basedOn w:val="Normal"/>
    <w:link w:val="BalloonTextChar"/>
    <w:uiPriority w:val="99"/>
    <w:semiHidden/>
    <w:unhideWhenUsed/>
    <w:rsid w:val="00EA30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0B1"/>
    <w:rPr>
      <w:rFonts w:ascii="Segoe UI" w:hAnsi="Segoe UI" w:cs="Segoe UI"/>
      <w:sz w:val="18"/>
      <w:szCs w:val="18"/>
    </w:rPr>
  </w:style>
  <w:style w:type="paragraph" w:styleId="Header">
    <w:name w:val="header"/>
    <w:basedOn w:val="Normal"/>
    <w:link w:val="HeaderChar"/>
    <w:uiPriority w:val="99"/>
    <w:unhideWhenUsed/>
    <w:rsid w:val="007C0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1D5"/>
  </w:style>
  <w:style w:type="paragraph" w:styleId="Footer">
    <w:name w:val="footer"/>
    <w:basedOn w:val="Normal"/>
    <w:link w:val="FooterChar"/>
    <w:uiPriority w:val="99"/>
    <w:unhideWhenUsed/>
    <w:rsid w:val="007C0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85362">
      <w:bodyDiv w:val="1"/>
      <w:marLeft w:val="0"/>
      <w:marRight w:val="0"/>
      <w:marTop w:val="0"/>
      <w:marBottom w:val="0"/>
      <w:divBdr>
        <w:top w:val="none" w:sz="0" w:space="0" w:color="auto"/>
        <w:left w:val="none" w:sz="0" w:space="0" w:color="auto"/>
        <w:bottom w:val="none" w:sz="0" w:space="0" w:color="auto"/>
        <w:right w:val="none" w:sz="0" w:space="0" w:color="auto"/>
      </w:divBdr>
    </w:div>
    <w:div w:id="87819949">
      <w:bodyDiv w:val="1"/>
      <w:marLeft w:val="0"/>
      <w:marRight w:val="0"/>
      <w:marTop w:val="0"/>
      <w:marBottom w:val="0"/>
      <w:divBdr>
        <w:top w:val="none" w:sz="0" w:space="0" w:color="auto"/>
        <w:left w:val="none" w:sz="0" w:space="0" w:color="auto"/>
        <w:bottom w:val="none" w:sz="0" w:space="0" w:color="auto"/>
        <w:right w:val="none" w:sz="0" w:space="0" w:color="auto"/>
      </w:divBdr>
      <w:divsChild>
        <w:div w:id="523906475">
          <w:marLeft w:val="240"/>
          <w:marRight w:val="240"/>
          <w:marTop w:val="750"/>
          <w:marBottom w:val="240"/>
          <w:divBdr>
            <w:top w:val="single" w:sz="6" w:space="13" w:color="000000"/>
            <w:left w:val="single" w:sz="2" w:space="13" w:color="000000"/>
            <w:bottom w:val="single" w:sz="6" w:space="13" w:color="000000"/>
            <w:right w:val="single" w:sz="2" w:space="13"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depublishing.com/cgi-bin/crs.pl?cite=31-23-20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Bonds</dc:creator>
  <cp:keywords/>
  <dc:description/>
  <cp:lastModifiedBy>Janis Bonds</cp:lastModifiedBy>
  <cp:revision>6</cp:revision>
  <cp:lastPrinted>2019-02-25T21:08:00Z</cp:lastPrinted>
  <dcterms:created xsi:type="dcterms:W3CDTF">2019-02-25T20:49:00Z</dcterms:created>
  <dcterms:modified xsi:type="dcterms:W3CDTF">2019-02-26T15:33:00Z</dcterms:modified>
</cp:coreProperties>
</file>