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67" w:rsidRPr="00C6599D" w:rsidRDefault="00157667" w:rsidP="00157667">
      <w:pPr>
        <w:tabs>
          <w:tab w:val="left" w:pos="0"/>
        </w:tabs>
        <w:suppressAutoHyphens/>
        <w:overflowPunct w:val="0"/>
        <w:autoSpaceDE w:val="0"/>
        <w:autoSpaceDN w:val="0"/>
        <w:adjustRightInd w:val="0"/>
        <w:jc w:val="center"/>
        <w:textAlignment w:val="baseline"/>
        <w:rPr>
          <w:b/>
          <w:spacing w:val="-2"/>
        </w:rPr>
      </w:pPr>
      <w:r w:rsidRPr="00C6599D">
        <w:rPr>
          <w:b/>
          <w:spacing w:val="-2"/>
        </w:rPr>
        <w:t>CITY OF GRAND JUNCTION, COLORADO</w:t>
      </w:r>
    </w:p>
    <w:p w:rsidR="00157667" w:rsidRPr="00C6599D" w:rsidRDefault="00157667" w:rsidP="00157667">
      <w:pPr>
        <w:tabs>
          <w:tab w:val="left" w:pos="0"/>
        </w:tabs>
        <w:suppressAutoHyphens/>
        <w:overflowPunct w:val="0"/>
        <w:autoSpaceDE w:val="0"/>
        <w:autoSpaceDN w:val="0"/>
        <w:adjustRightInd w:val="0"/>
        <w:jc w:val="center"/>
        <w:textAlignment w:val="baseline"/>
        <w:rPr>
          <w:b/>
          <w:spacing w:val="-2"/>
        </w:rPr>
      </w:pPr>
    </w:p>
    <w:p w:rsidR="00157667" w:rsidRPr="00C6599D" w:rsidRDefault="00157667" w:rsidP="00157667">
      <w:pPr>
        <w:tabs>
          <w:tab w:val="left" w:pos="0"/>
        </w:tabs>
        <w:suppressAutoHyphens/>
        <w:overflowPunct w:val="0"/>
        <w:autoSpaceDE w:val="0"/>
        <w:autoSpaceDN w:val="0"/>
        <w:adjustRightInd w:val="0"/>
        <w:jc w:val="center"/>
        <w:textAlignment w:val="baseline"/>
        <w:rPr>
          <w:b/>
          <w:spacing w:val="-2"/>
          <w:u w:val="single"/>
        </w:rPr>
      </w:pPr>
      <w:proofErr w:type="gramStart"/>
      <w:r w:rsidRPr="00C6599D">
        <w:rPr>
          <w:b/>
          <w:spacing w:val="-2"/>
        </w:rPr>
        <w:t>ORDINANCE NO.</w:t>
      </w:r>
      <w:proofErr w:type="gramEnd"/>
      <w:r w:rsidRPr="00C6599D">
        <w:rPr>
          <w:b/>
          <w:spacing w:val="-2"/>
        </w:rPr>
        <w:t xml:space="preserve"> </w:t>
      </w:r>
      <w:r>
        <w:rPr>
          <w:b/>
          <w:spacing w:val="-2"/>
        </w:rPr>
        <w:t>4640</w:t>
      </w:r>
    </w:p>
    <w:p w:rsidR="00157667" w:rsidRPr="00C6599D" w:rsidRDefault="00157667" w:rsidP="00157667">
      <w:pPr>
        <w:tabs>
          <w:tab w:val="left" w:pos="0"/>
        </w:tabs>
        <w:suppressAutoHyphens/>
        <w:overflowPunct w:val="0"/>
        <w:autoSpaceDE w:val="0"/>
        <w:autoSpaceDN w:val="0"/>
        <w:adjustRightInd w:val="0"/>
        <w:jc w:val="center"/>
        <w:textAlignment w:val="baseline"/>
        <w:rPr>
          <w:b/>
          <w:spacing w:val="-2"/>
        </w:rPr>
      </w:pPr>
    </w:p>
    <w:p w:rsidR="00157667" w:rsidRPr="00C6599D" w:rsidRDefault="00157667" w:rsidP="00157667">
      <w:pPr>
        <w:tabs>
          <w:tab w:val="left" w:pos="0"/>
        </w:tabs>
        <w:suppressAutoHyphens/>
        <w:overflowPunct w:val="0"/>
        <w:autoSpaceDE w:val="0"/>
        <w:autoSpaceDN w:val="0"/>
        <w:adjustRightInd w:val="0"/>
        <w:jc w:val="center"/>
        <w:textAlignment w:val="baseline"/>
        <w:rPr>
          <w:b/>
          <w:spacing w:val="-2"/>
        </w:rPr>
      </w:pPr>
      <w:r w:rsidRPr="00C6599D">
        <w:rPr>
          <w:b/>
          <w:spacing w:val="-2"/>
        </w:rPr>
        <w:t xml:space="preserve">AN ORDINANCE </w:t>
      </w:r>
      <w:r>
        <w:rPr>
          <w:b/>
          <w:spacing w:val="-2"/>
        </w:rPr>
        <w:t>AMENDING</w:t>
      </w:r>
      <w:r w:rsidRPr="00C6599D">
        <w:rPr>
          <w:b/>
          <w:spacing w:val="-2"/>
        </w:rPr>
        <w:t xml:space="preserve"> SECTION 13.04</w:t>
      </w:r>
      <w:r>
        <w:rPr>
          <w:b/>
          <w:spacing w:val="-2"/>
        </w:rPr>
        <w:t>.370 (d)</w:t>
      </w:r>
      <w:r w:rsidRPr="00C6599D">
        <w:rPr>
          <w:b/>
          <w:spacing w:val="-2"/>
        </w:rPr>
        <w:t xml:space="preserve"> OF THE GRAND JUNCTION MUNICIPAL CODE PERTAINING TO INDUSTRIAL PRETREATMENT REGULATIONS </w:t>
      </w:r>
      <w:r>
        <w:rPr>
          <w:b/>
          <w:spacing w:val="-2"/>
        </w:rPr>
        <w:t>CONCERNING MASS-BASED LOCAL LIMITS</w:t>
      </w:r>
    </w:p>
    <w:p w:rsidR="00157667" w:rsidRPr="00C6599D" w:rsidRDefault="00157667" w:rsidP="00157667">
      <w:pPr>
        <w:tabs>
          <w:tab w:val="left" w:pos="0"/>
        </w:tabs>
        <w:suppressAutoHyphens/>
        <w:overflowPunct w:val="0"/>
        <w:autoSpaceDE w:val="0"/>
        <w:autoSpaceDN w:val="0"/>
        <w:adjustRightInd w:val="0"/>
        <w:textAlignment w:val="baseline"/>
        <w:rPr>
          <w:b/>
          <w:spacing w:val="-2"/>
        </w:rPr>
      </w:pPr>
      <w:r w:rsidRPr="00C6599D">
        <w:rPr>
          <w:b/>
          <w:spacing w:val="-2"/>
        </w:rPr>
        <w:t>RECITALS:</w:t>
      </w:r>
    </w:p>
    <w:p w:rsidR="00157667" w:rsidRPr="00C6599D" w:rsidRDefault="00157667" w:rsidP="00157667">
      <w:pPr>
        <w:tabs>
          <w:tab w:val="left" w:pos="0"/>
        </w:tabs>
        <w:suppressAutoHyphens/>
        <w:overflowPunct w:val="0"/>
        <w:autoSpaceDE w:val="0"/>
        <w:autoSpaceDN w:val="0"/>
        <w:adjustRightInd w:val="0"/>
        <w:textAlignment w:val="baseline"/>
        <w:rPr>
          <w:spacing w:val="-2"/>
        </w:rPr>
      </w:pPr>
    </w:p>
    <w:p w:rsidR="00157667" w:rsidRPr="00C6599D" w:rsidRDefault="00157667" w:rsidP="00157667">
      <w:pPr>
        <w:tabs>
          <w:tab w:val="left" w:pos="0"/>
        </w:tabs>
        <w:suppressAutoHyphens/>
        <w:overflowPunct w:val="0"/>
        <w:autoSpaceDE w:val="0"/>
        <w:autoSpaceDN w:val="0"/>
        <w:adjustRightInd w:val="0"/>
        <w:jc w:val="both"/>
        <w:textAlignment w:val="baseline"/>
      </w:pPr>
      <w:r w:rsidRPr="00C6599D">
        <w:t>The United States Environmental Protection Agency (</w:t>
      </w:r>
      <w:proofErr w:type="spellStart"/>
      <w:r w:rsidRPr="00C6599D">
        <w:t>USEPA</w:t>
      </w:r>
      <w:proofErr w:type="spellEnd"/>
      <w:r w:rsidRPr="00C6599D">
        <w:t xml:space="preserve">) requires the City’s Persigo Wastewater Treatment Facility to have an Industrial Pretreatment Program to prevent certain pollutants from entering the wastewater system. The pollutants of concern are those that can interfere with the operation of the wastewater treatment process, pass through the wastewater treatment system without adequate treatment or contaminate treatment plant </w:t>
      </w:r>
      <w:proofErr w:type="spellStart"/>
      <w:r w:rsidRPr="00C6599D">
        <w:t>biosolids</w:t>
      </w:r>
      <w:proofErr w:type="spellEnd"/>
      <w:r w:rsidRPr="00C6599D">
        <w:t>.</w:t>
      </w:r>
    </w:p>
    <w:p w:rsidR="00157667" w:rsidRPr="00C6599D" w:rsidRDefault="00157667" w:rsidP="00157667">
      <w:pPr>
        <w:tabs>
          <w:tab w:val="left" w:pos="0"/>
        </w:tabs>
        <w:suppressAutoHyphens/>
        <w:overflowPunct w:val="0"/>
        <w:autoSpaceDE w:val="0"/>
        <w:autoSpaceDN w:val="0"/>
        <w:adjustRightInd w:val="0"/>
        <w:jc w:val="both"/>
        <w:textAlignment w:val="baseline"/>
      </w:pPr>
    </w:p>
    <w:p w:rsidR="00157667" w:rsidRDefault="00157667" w:rsidP="00157667">
      <w:pPr>
        <w:tabs>
          <w:tab w:val="left" w:pos="0"/>
        </w:tabs>
        <w:suppressAutoHyphens/>
        <w:overflowPunct w:val="0"/>
        <w:autoSpaceDE w:val="0"/>
        <w:autoSpaceDN w:val="0"/>
        <w:adjustRightInd w:val="0"/>
        <w:jc w:val="both"/>
        <w:textAlignment w:val="baseline"/>
      </w:pPr>
      <w:r w:rsidRPr="00C6599D">
        <w:t>The City’s Wastewater and Industrial Pretreatment Regulations in Section 13.04</w:t>
      </w:r>
      <w:r>
        <w:t>.370 (d)</w:t>
      </w:r>
      <w:r w:rsidRPr="00C6599D">
        <w:t xml:space="preserve"> of the Grand Junction Municipal Code (Code) is being </w:t>
      </w:r>
      <w:r>
        <w:t>amended</w:t>
      </w:r>
      <w:r w:rsidRPr="00C6599D">
        <w:t xml:space="preserve"> to comply with federal Pretreatment requirements</w:t>
      </w:r>
      <w:r>
        <w:t>.</w:t>
      </w:r>
    </w:p>
    <w:p w:rsidR="00157667" w:rsidRPr="00C6599D" w:rsidRDefault="00157667" w:rsidP="00157667">
      <w:pPr>
        <w:tabs>
          <w:tab w:val="left" w:pos="0"/>
        </w:tabs>
        <w:suppressAutoHyphens/>
        <w:overflowPunct w:val="0"/>
        <w:autoSpaceDE w:val="0"/>
        <w:autoSpaceDN w:val="0"/>
        <w:adjustRightInd w:val="0"/>
        <w:jc w:val="both"/>
        <w:textAlignment w:val="baseline"/>
        <w:rPr>
          <w:spacing w:val="-2"/>
        </w:rPr>
      </w:pPr>
      <w:r w:rsidRPr="00C6599D">
        <w:rPr>
          <w:spacing w:val="-2"/>
        </w:rPr>
        <w:t xml:space="preserve"> </w:t>
      </w:r>
    </w:p>
    <w:p w:rsidR="00157667" w:rsidRPr="00C6599D" w:rsidRDefault="00157667" w:rsidP="00157667">
      <w:pPr>
        <w:tabs>
          <w:tab w:val="left" w:pos="0"/>
        </w:tabs>
        <w:suppressAutoHyphens/>
        <w:overflowPunct w:val="0"/>
        <w:autoSpaceDE w:val="0"/>
        <w:autoSpaceDN w:val="0"/>
        <w:adjustRightInd w:val="0"/>
        <w:jc w:val="both"/>
        <w:textAlignment w:val="baseline"/>
        <w:rPr>
          <w:spacing w:val="-2"/>
        </w:rPr>
      </w:pPr>
      <w:r w:rsidRPr="00C6599D">
        <w:rPr>
          <w:spacing w:val="-2"/>
        </w:rPr>
        <w:t xml:space="preserve">In compliance with the </w:t>
      </w:r>
      <w:proofErr w:type="spellStart"/>
      <w:r w:rsidRPr="00C6599D">
        <w:rPr>
          <w:spacing w:val="-2"/>
        </w:rPr>
        <w:t>USEPA</w:t>
      </w:r>
      <w:proofErr w:type="spellEnd"/>
      <w:r w:rsidRPr="00C6599D">
        <w:rPr>
          <w:spacing w:val="-2"/>
        </w:rPr>
        <w:t xml:space="preserve"> Pretreatment requirements</w:t>
      </w:r>
      <w:r>
        <w:rPr>
          <w:spacing w:val="-2"/>
        </w:rPr>
        <w:t xml:space="preserve"> and with </w:t>
      </w:r>
      <w:proofErr w:type="spellStart"/>
      <w:r>
        <w:rPr>
          <w:spacing w:val="-2"/>
        </w:rPr>
        <w:t>USEPA</w:t>
      </w:r>
      <w:proofErr w:type="spellEnd"/>
      <w:r>
        <w:rPr>
          <w:spacing w:val="-2"/>
        </w:rPr>
        <w:t xml:space="preserve"> approval</w:t>
      </w:r>
      <w:r w:rsidRPr="00C6599D">
        <w:rPr>
          <w:spacing w:val="-2"/>
        </w:rPr>
        <w:t xml:space="preserve">, City staff has made the required revisions relating to Industrial Pretreatment to the </w:t>
      </w:r>
      <w:r>
        <w:rPr>
          <w:spacing w:val="-2"/>
        </w:rPr>
        <w:t xml:space="preserve">Grand Junction Municipal </w:t>
      </w:r>
      <w:r w:rsidRPr="00C6599D">
        <w:rPr>
          <w:spacing w:val="-2"/>
        </w:rPr>
        <w:t>Code and now requests that the City Council approve the proposed changes to the Code.</w:t>
      </w:r>
    </w:p>
    <w:p w:rsidR="00157667" w:rsidRPr="00C6599D" w:rsidRDefault="00157667" w:rsidP="00157667">
      <w:pPr>
        <w:tabs>
          <w:tab w:val="left" w:pos="0"/>
        </w:tabs>
        <w:suppressAutoHyphens/>
        <w:overflowPunct w:val="0"/>
        <w:autoSpaceDE w:val="0"/>
        <w:autoSpaceDN w:val="0"/>
        <w:adjustRightInd w:val="0"/>
        <w:jc w:val="both"/>
        <w:textAlignment w:val="baseline"/>
        <w:rPr>
          <w:spacing w:val="-2"/>
        </w:rPr>
      </w:pPr>
    </w:p>
    <w:p w:rsidR="00157667" w:rsidRPr="00157667" w:rsidRDefault="00157667" w:rsidP="00157667">
      <w:pPr>
        <w:tabs>
          <w:tab w:val="left" w:pos="0"/>
        </w:tabs>
        <w:suppressAutoHyphens/>
        <w:overflowPunct w:val="0"/>
        <w:autoSpaceDE w:val="0"/>
        <w:autoSpaceDN w:val="0"/>
        <w:adjustRightInd w:val="0"/>
        <w:jc w:val="both"/>
        <w:textAlignment w:val="baseline"/>
        <w:rPr>
          <w:rFonts w:cs="Arial"/>
          <w:spacing w:val="-2"/>
        </w:rPr>
      </w:pPr>
      <w:r w:rsidRPr="00157667">
        <w:rPr>
          <w:rFonts w:cs="Arial"/>
          <w:spacing w:val="-2"/>
        </w:rPr>
        <w:t xml:space="preserve">BE IT ORDAINED BY THE CITY COUNCIL OF THE CITY OF </w:t>
      </w:r>
      <w:smartTag w:uri="urn:schemas-microsoft-com:office:smarttags" w:element="place">
        <w:smartTag w:uri="urn:schemas-microsoft-com:office:smarttags" w:element="City">
          <w:r w:rsidRPr="00157667">
            <w:rPr>
              <w:rFonts w:cs="Arial"/>
              <w:spacing w:val="-2"/>
            </w:rPr>
            <w:t>GRAND</w:t>
          </w:r>
        </w:smartTag>
      </w:smartTag>
      <w:r w:rsidRPr="00157667">
        <w:rPr>
          <w:rFonts w:cs="Arial"/>
          <w:spacing w:val="-2"/>
        </w:rPr>
        <w:t xml:space="preserve"> JUNCTION THAT:</w:t>
      </w:r>
    </w:p>
    <w:p w:rsidR="00157667" w:rsidRPr="00157667" w:rsidRDefault="00157667" w:rsidP="00157667">
      <w:pPr>
        <w:rPr>
          <w:rFonts w:cs="Arial"/>
          <w:b/>
          <w:u w:val="single"/>
        </w:rPr>
      </w:pPr>
    </w:p>
    <w:p w:rsidR="00157667" w:rsidRPr="00157667" w:rsidRDefault="00157667" w:rsidP="00157667">
      <w:pPr>
        <w:rPr>
          <w:rFonts w:cs="Arial"/>
          <w:b/>
        </w:rPr>
      </w:pPr>
      <w:r w:rsidRPr="00157667">
        <w:rPr>
          <w:rFonts w:cs="Arial"/>
          <w:spacing w:val="-2"/>
        </w:rPr>
        <w:t>1.  Section 13-04.370 (d) is hereby amended to read as follows:</w:t>
      </w:r>
    </w:p>
    <w:p w:rsidR="00157667" w:rsidRPr="00157667" w:rsidRDefault="00157667" w:rsidP="00157667">
      <w:pPr>
        <w:ind w:left="1440" w:hanging="720"/>
        <w:rPr>
          <w:rFonts w:cs="Arial"/>
          <w:szCs w:val="24"/>
        </w:rPr>
      </w:pPr>
    </w:p>
    <w:p w:rsidR="00157667" w:rsidRPr="00157667" w:rsidRDefault="00157667" w:rsidP="00157667">
      <w:pPr>
        <w:ind w:left="1440" w:hanging="720"/>
        <w:rPr>
          <w:rFonts w:cs="Arial"/>
          <w:szCs w:val="24"/>
        </w:rPr>
      </w:pPr>
      <w:r w:rsidRPr="00157667">
        <w:rPr>
          <w:rFonts w:cs="Arial"/>
          <w:szCs w:val="24"/>
        </w:rPr>
        <w:t>(d)</w:t>
      </w:r>
      <w:r w:rsidRPr="00157667">
        <w:rPr>
          <w:rFonts w:cs="Arial"/>
          <w:szCs w:val="24"/>
        </w:rPr>
        <w:tab/>
      </w:r>
      <w:r w:rsidRPr="00157667">
        <w:rPr>
          <w:rFonts w:cs="Arial"/>
          <w:color w:val="000000"/>
          <w:szCs w:val="24"/>
        </w:rPr>
        <w:t>Specific Discharge Limitations -</w:t>
      </w:r>
      <w:r w:rsidRPr="00157667" w:rsidDel="00E46FF7">
        <w:rPr>
          <w:rFonts w:cs="Arial"/>
          <w:szCs w:val="24"/>
        </w:rPr>
        <w:t xml:space="preserve"> </w:t>
      </w:r>
      <w:r w:rsidRPr="00157667">
        <w:rPr>
          <w:rFonts w:cs="Arial"/>
          <w:szCs w:val="24"/>
        </w:rPr>
        <w:t xml:space="preserve">Mass-Based Local Limits.  </w:t>
      </w:r>
    </w:p>
    <w:p w:rsidR="00157667" w:rsidRPr="00157667" w:rsidRDefault="00157667" w:rsidP="00157667">
      <w:pPr>
        <w:ind w:left="1440" w:hanging="720"/>
        <w:rPr>
          <w:rFonts w:cs="Arial"/>
          <w:szCs w:val="24"/>
        </w:rPr>
      </w:pPr>
    </w:p>
    <w:p w:rsidR="00157667" w:rsidRPr="00157667" w:rsidRDefault="00157667" w:rsidP="00157667">
      <w:pPr>
        <w:ind w:left="1440"/>
        <w:rPr>
          <w:rFonts w:cs="Arial"/>
          <w:color w:val="000000"/>
        </w:rPr>
      </w:pPr>
      <w:r w:rsidRPr="00157667">
        <w:rPr>
          <w:rFonts w:cs="Arial"/>
          <w:color w:val="000000"/>
          <w:szCs w:val="24"/>
        </w:rPr>
        <w:t xml:space="preserve">The following table shows the total Maximum Allowable Industrial Load (MAIL) in pounds per day that can be allocated to all Significant Industrial Users and other permitted Industrial Users.  The City, at its sole discretion, will establish the industry specific allocation in the Industrial User’s Industrial Discharge Permit as a mass or concentration-based limit.  </w:t>
      </w:r>
      <w:r w:rsidRPr="00157667">
        <w:rPr>
          <w:rFonts w:cs="Arial"/>
          <w:color w:val="000000"/>
        </w:rPr>
        <w:t xml:space="preserve">It shall be unlawful for any Significant Industrial User or other permitted Industrial User to discharge or cause to be discharged any waste or wastewater that exceeds the allocations established by the City.  </w:t>
      </w:r>
    </w:p>
    <w:p w:rsidR="00157667" w:rsidRPr="00157667" w:rsidRDefault="00157667" w:rsidP="00157667">
      <w:pPr>
        <w:ind w:left="2160" w:hanging="720"/>
        <w:rPr>
          <w:rFonts w:cs="Arial"/>
          <w:szCs w:val="24"/>
        </w:rPr>
      </w:pPr>
      <w:r w:rsidRPr="00157667">
        <w:rPr>
          <w:rFonts w:cs="Arial"/>
          <w:color w:val="000000"/>
          <w:spacing w:val="-3"/>
          <w:szCs w:val="24"/>
        </w:rPr>
        <w:br/>
      </w:r>
    </w:p>
    <w:tbl>
      <w:tblPr>
        <w:tblW w:w="2681"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42"/>
        <w:gridCol w:w="2841"/>
      </w:tblGrid>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vertAlign w:val="superscript"/>
              </w:rPr>
            </w:pPr>
            <w:r w:rsidRPr="00157667">
              <w:rPr>
                <w:rFonts w:cs="Arial"/>
                <w:szCs w:val="24"/>
              </w:rPr>
              <w:t>Pollutant</w:t>
            </w:r>
          </w:p>
        </w:tc>
        <w:tc>
          <w:tcPr>
            <w:tcW w:w="279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Total Maximum Allowable Industrial Load (</w:t>
            </w:r>
            <w:proofErr w:type="spellStart"/>
            <w:r w:rsidRPr="00157667">
              <w:rPr>
                <w:rFonts w:cs="Arial"/>
                <w:szCs w:val="24"/>
              </w:rPr>
              <w:t>lbs</w:t>
            </w:r>
            <w:proofErr w:type="spellEnd"/>
            <w:r w:rsidRPr="00157667">
              <w:rPr>
                <w:rFonts w:cs="Arial"/>
                <w:szCs w:val="24"/>
              </w:rPr>
              <w:t>/day)</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Arsenic</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rPr>
            </w:pPr>
            <w:r w:rsidRPr="00157667">
              <w:rPr>
                <w:rFonts w:cs="Arial"/>
              </w:rPr>
              <w:t>0.86</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Cadmium</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rPr>
            </w:pPr>
            <w:r w:rsidRPr="00157667">
              <w:rPr>
                <w:rFonts w:cs="Arial"/>
              </w:rPr>
              <w:t>0.49</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Chromium</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rPr>
            </w:pPr>
            <w:r w:rsidRPr="00157667">
              <w:rPr>
                <w:rFonts w:cs="Arial"/>
              </w:rPr>
              <w:t>89.92</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lastRenderedPageBreak/>
              <w:t>Copper</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szCs w:val="24"/>
              </w:rPr>
            </w:pPr>
            <w:r w:rsidRPr="00157667">
              <w:rPr>
                <w:rFonts w:cs="Arial"/>
                <w:szCs w:val="24"/>
              </w:rPr>
              <w:t>12.28</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Lead</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rPr>
            </w:pPr>
            <w:r w:rsidRPr="00157667">
              <w:rPr>
                <w:rFonts w:cs="Arial"/>
              </w:rPr>
              <w:t>6.57</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Mercury</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rPr>
            </w:pPr>
            <w:r w:rsidRPr="00157667">
              <w:rPr>
                <w:rFonts w:cs="Arial"/>
              </w:rPr>
              <w:t>0.019</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Nickel</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rPr>
            </w:pPr>
            <w:r w:rsidRPr="00157667">
              <w:rPr>
                <w:rFonts w:cs="Arial"/>
              </w:rPr>
              <w:t>9.07</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Selenium</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rPr>
            </w:pPr>
            <w:r w:rsidRPr="00157667">
              <w:rPr>
                <w:rFonts w:cs="Arial"/>
              </w:rPr>
              <w:t>0.14</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Silver</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szCs w:val="24"/>
              </w:rPr>
            </w:pPr>
            <w:r w:rsidRPr="00157667">
              <w:rPr>
                <w:rFonts w:cs="Arial"/>
                <w:szCs w:val="24"/>
              </w:rPr>
              <w:t>1.83</w:t>
            </w:r>
          </w:p>
        </w:tc>
      </w:tr>
      <w:tr w:rsidR="00157667" w:rsidRPr="00157667" w:rsidTr="00F873BE">
        <w:trPr>
          <w:tblCellSpacing w:w="0" w:type="dxa"/>
          <w:jc w:val="center"/>
        </w:trPr>
        <w:tc>
          <w:tcPr>
            <w:tcW w:w="2205" w:type="pct"/>
            <w:tcBorders>
              <w:top w:val="outset" w:sz="6" w:space="0" w:color="auto"/>
              <w:left w:val="outset" w:sz="6" w:space="0" w:color="auto"/>
              <w:bottom w:val="outset" w:sz="6" w:space="0" w:color="auto"/>
              <w:right w:val="outset" w:sz="6" w:space="0" w:color="auto"/>
            </w:tcBorders>
            <w:vAlign w:val="center"/>
            <w:hideMark/>
          </w:tcPr>
          <w:p w:rsidR="00157667" w:rsidRPr="00157667" w:rsidRDefault="00157667" w:rsidP="00F873BE">
            <w:pPr>
              <w:jc w:val="center"/>
              <w:rPr>
                <w:rFonts w:cs="Arial"/>
                <w:szCs w:val="24"/>
              </w:rPr>
            </w:pPr>
            <w:r w:rsidRPr="00157667">
              <w:rPr>
                <w:rFonts w:cs="Arial"/>
                <w:szCs w:val="24"/>
              </w:rPr>
              <w:t>Zinc</w:t>
            </w:r>
          </w:p>
        </w:tc>
        <w:tc>
          <w:tcPr>
            <w:tcW w:w="2795" w:type="pct"/>
            <w:tcBorders>
              <w:top w:val="outset" w:sz="6" w:space="0" w:color="auto"/>
              <w:left w:val="outset" w:sz="6" w:space="0" w:color="auto"/>
              <w:bottom w:val="outset" w:sz="6" w:space="0" w:color="auto"/>
              <w:right w:val="outset" w:sz="6" w:space="0" w:color="auto"/>
            </w:tcBorders>
            <w:vAlign w:val="center"/>
          </w:tcPr>
          <w:p w:rsidR="00157667" w:rsidRPr="00157667" w:rsidRDefault="00157667" w:rsidP="00F873BE">
            <w:pPr>
              <w:jc w:val="center"/>
              <w:rPr>
                <w:rFonts w:cs="Arial"/>
                <w:szCs w:val="24"/>
              </w:rPr>
            </w:pPr>
            <w:r w:rsidRPr="00157667">
              <w:rPr>
                <w:rFonts w:cs="Arial"/>
                <w:szCs w:val="24"/>
              </w:rPr>
              <w:t>53.4</w:t>
            </w:r>
          </w:p>
        </w:tc>
      </w:tr>
    </w:tbl>
    <w:p w:rsidR="00157667" w:rsidRPr="00157667" w:rsidRDefault="00157667" w:rsidP="00157667">
      <w:pPr>
        <w:rPr>
          <w:rFonts w:cs="Arial"/>
          <w:b/>
        </w:rPr>
      </w:pPr>
    </w:p>
    <w:p w:rsidR="00157667" w:rsidRPr="00157667" w:rsidRDefault="00157667" w:rsidP="00157667">
      <w:pPr>
        <w:rPr>
          <w:rFonts w:cs="Arial"/>
        </w:rPr>
      </w:pPr>
    </w:p>
    <w:p w:rsidR="00157667" w:rsidRPr="00157667" w:rsidRDefault="00157667" w:rsidP="00157667">
      <w:pPr>
        <w:rPr>
          <w:rFonts w:cs="Arial"/>
          <w:u w:val="single"/>
        </w:rPr>
      </w:pPr>
      <w:proofErr w:type="gramStart"/>
      <w:r w:rsidRPr="00157667">
        <w:rPr>
          <w:rFonts w:cs="Arial"/>
        </w:rPr>
        <w:t xml:space="preserve">Introduced on first reading this </w:t>
      </w:r>
      <w:r w:rsidRPr="00157667">
        <w:rPr>
          <w:rFonts w:cs="Arial"/>
          <w:u w:val="single"/>
        </w:rPr>
        <w:t xml:space="preserve">17th </w:t>
      </w:r>
      <w:r w:rsidRPr="00157667">
        <w:rPr>
          <w:rFonts w:cs="Arial"/>
        </w:rPr>
        <w:t>day of</w:t>
      </w:r>
      <w:r>
        <w:rPr>
          <w:rFonts w:cs="Arial"/>
        </w:rPr>
        <w:t xml:space="preserve"> </w:t>
      </w:r>
      <w:r w:rsidRPr="00157667">
        <w:rPr>
          <w:rFonts w:cs="Arial"/>
          <w:u w:val="single"/>
        </w:rPr>
        <w:t>September</w:t>
      </w:r>
      <w:r w:rsidRPr="00157667">
        <w:rPr>
          <w:rFonts w:cs="Arial"/>
          <w:u w:val="single"/>
        </w:rPr>
        <w:tab/>
      </w:r>
      <w:r w:rsidRPr="00157667">
        <w:rPr>
          <w:rFonts w:cs="Arial"/>
        </w:rPr>
        <w:t>, 2014.</w:t>
      </w:r>
      <w:proofErr w:type="gramEnd"/>
    </w:p>
    <w:p w:rsidR="00157667" w:rsidRPr="00157667" w:rsidRDefault="00157667" w:rsidP="00157667">
      <w:pPr>
        <w:rPr>
          <w:rFonts w:cs="Arial"/>
          <w:u w:val="single"/>
        </w:rPr>
      </w:pPr>
    </w:p>
    <w:p w:rsidR="00157667" w:rsidRPr="00157667" w:rsidRDefault="00157667" w:rsidP="00157667">
      <w:pPr>
        <w:rPr>
          <w:rFonts w:cs="Arial"/>
          <w:u w:val="single"/>
        </w:rPr>
      </w:pPr>
      <w:proofErr w:type="gramStart"/>
      <w:r w:rsidRPr="00157667">
        <w:rPr>
          <w:rFonts w:cs="Arial"/>
        </w:rPr>
        <w:t xml:space="preserve">Adopted on second reading this </w:t>
      </w:r>
      <w:r>
        <w:rPr>
          <w:rFonts w:cs="Arial"/>
          <w:u w:val="single"/>
        </w:rPr>
        <w:t>5</w:t>
      </w:r>
      <w:r w:rsidRPr="00157667">
        <w:rPr>
          <w:rFonts w:cs="Arial"/>
          <w:u w:val="single"/>
          <w:vertAlign w:val="superscript"/>
        </w:rPr>
        <w:t>th</w:t>
      </w:r>
      <w:r>
        <w:rPr>
          <w:rFonts w:cs="Arial"/>
          <w:u w:val="single"/>
        </w:rPr>
        <w:t xml:space="preserve"> </w:t>
      </w:r>
      <w:r w:rsidRPr="00157667">
        <w:rPr>
          <w:rFonts w:cs="Arial"/>
        </w:rPr>
        <w:t>day of</w:t>
      </w:r>
      <w:r w:rsidRPr="00157667">
        <w:rPr>
          <w:rFonts w:cs="Arial"/>
          <w:u w:val="single"/>
        </w:rPr>
        <w:t xml:space="preserve"> </w:t>
      </w:r>
      <w:r>
        <w:rPr>
          <w:rFonts w:cs="Arial"/>
          <w:u w:val="single"/>
        </w:rPr>
        <w:t>November</w:t>
      </w:r>
      <w:r w:rsidRPr="00157667">
        <w:rPr>
          <w:rFonts w:cs="Arial"/>
        </w:rPr>
        <w:t>, 2014.</w:t>
      </w:r>
      <w:proofErr w:type="gramEnd"/>
    </w:p>
    <w:p w:rsidR="00157667" w:rsidRPr="00157667" w:rsidRDefault="00157667" w:rsidP="00157667">
      <w:pPr>
        <w:rPr>
          <w:rFonts w:cs="Arial"/>
          <w:u w:val="single"/>
        </w:rPr>
      </w:pPr>
    </w:p>
    <w:p w:rsidR="00157667" w:rsidRPr="00157667" w:rsidRDefault="00157667" w:rsidP="00157667">
      <w:pPr>
        <w:rPr>
          <w:rFonts w:cs="Arial"/>
          <w:u w:val="single"/>
        </w:rPr>
      </w:pPr>
    </w:p>
    <w:p w:rsidR="00157667" w:rsidRPr="00157667" w:rsidRDefault="00157667" w:rsidP="00157667">
      <w:pPr>
        <w:rPr>
          <w:rFonts w:cs="Arial"/>
          <w:u w:val="single"/>
        </w:rPr>
      </w:pPr>
    </w:p>
    <w:p w:rsidR="00592DBD" w:rsidRDefault="00157667" w:rsidP="00157667">
      <w:pPr>
        <w:rPr>
          <w:rFonts w:cs="Arial"/>
        </w:rPr>
      </w:pPr>
      <w:r w:rsidRPr="00157667">
        <w:rPr>
          <w:rFonts w:cs="Arial"/>
        </w:rPr>
        <w:tab/>
      </w:r>
      <w:r w:rsidRPr="00157667">
        <w:rPr>
          <w:rFonts w:cs="Arial"/>
        </w:rPr>
        <w:tab/>
      </w:r>
      <w:r w:rsidRPr="00157667">
        <w:rPr>
          <w:rFonts w:cs="Arial"/>
        </w:rPr>
        <w:tab/>
      </w:r>
      <w:r w:rsidRPr="00157667">
        <w:rPr>
          <w:rFonts w:cs="Arial"/>
        </w:rPr>
        <w:tab/>
      </w:r>
      <w:r w:rsidRPr="00157667">
        <w:rPr>
          <w:rFonts w:cs="Arial"/>
        </w:rPr>
        <w:tab/>
      </w:r>
      <w:r w:rsidRPr="00157667">
        <w:rPr>
          <w:rFonts w:cs="Arial"/>
        </w:rPr>
        <w:tab/>
      </w:r>
      <w:r w:rsidRPr="00157667">
        <w:rPr>
          <w:rFonts w:cs="Arial"/>
        </w:rPr>
        <w:tab/>
      </w:r>
      <w:r w:rsidR="00592DBD">
        <w:rPr>
          <w:rFonts w:cs="Arial"/>
        </w:rPr>
        <w:t>/s/:  Phyllis Norris</w:t>
      </w:r>
    </w:p>
    <w:p w:rsidR="00157667" w:rsidRPr="00157667" w:rsidRDefault="00592DBD" w:rsidP="00157667">
      <w:pPr>
        <w:rPr>
          <w:rFonts w:cs="Arial"/>
        </w:rPr>
      </w:pPr>
      <w:r>
        <w:rPr>
          <w:rFonts w:cs="Arial"/>
        </w:rPr>
        <w:tab/>
      </w:r>
      <w:r>
        <w:rPr>
          <w:rFonts w:cs="Arial"/>
        </w:rPr>
        <w:tab/>
      </w:r>
      <w:r>
        <w:rPr>
          <w:rFonts w:cs="Arial"/>
        </w:rPr>
        <w:tab/>
      </w:r>
      <w:r w:rsidR="00157667" w:rsidRPr="00157667">
        <w:rPr>
          <w:rFonts w:cs="Arial"/>
        </w:rPr>
        <w:tab/>
      </w:r>
      <w:r w:rsidR="00157667" w:rsidRPr="00157667">
        <w:rPr>
          <w:rFonts w:cs="Arial"/>
        </w:rPr>
        <w:tab/>
      </w:r>
      <w:r w:rsidR="00157667" w:rsidRPr="00157667">
        <w:rPr>
          <w:rFonts w:cs="Arial"/>
        </w:rPr>
        <w:tab/>
      </w:r>
      <w:r w:rsidR="00157667" w:rsidRPr="00157667">
        <w:rPr>
          <w:rFonts w:cs="Arial"/>
        </w:rPr>
        <w:tab/>
        <w:t>President of the Council</w:t>
      </w:r>
    </w:p>
    <w:p w:rsidR="00157667" w:rsidRPr="00157667" w:rsidRDefault="00157667" w:rsidP="00157667">
      <w:pPr>
        <w:rPr>
          <w:rFonts w:cs="Arial"/>
        </w:rPr>
      </w:pPr>
    </w:p>
    <w:p w:rsidR="00157667" w:rsidRPr="00157667" w:rsidRDefault="00157667" w:rsidP="00157667">
      <w:pPr>
        <w:rPr>
          <w:rFonts w:cs="Arial"/>
        </w:rPr>
      </w:pPr>
    </w:p>
    <w:p w:rsidR="00157667" w:rsidRPr="00157667" w:rsidRDefault="00157667" w:rsidP="00157667">
      <w:pPr>
        <w:rPr>
          <w:rFonts w:cs="Arial"/>
        </w:rPr>
      </w:pPr>
      <w:r w:rsidRPr="00157667">
        <w:rPr>
          <w:rFonts w:cs="Arial"/>
        </w:rPr>
        <w:t>ATTEST:</w:t>
      </w:r>
    </w:p>
    <w:p w:rsidR="00157667" w:rsidRPr="00157667" w:rsidRDefault="00157667" w:rsidP="00157667">
      <w:pPr>
        <w:rPr>
          <w:rFonts w:cs="Arial"/>
        </w:rPr>
      </w:pPr>
    </w:p>
    <w:p w:rsidR="00157667" w:rsidRPr="00157667" w:rsidRDefault="00157667" w:rsidP="00157667">
      <w:pPr>
        <w:rPr>
          <w:rFonts w:cs="Arial"/>
        </w:rPr>
      </w:pPr>
    </w:p>
    <w:p w:rsidR="00157667" w:rsidRPr="00157667" w:rsidRDefault="00592DBD" w:rsidP="00157667">
      <w:pPr>
        <w:rPr>
          <w:rFonts w:cs="Arial"/>
        </w:rPr>
      </w:pPr>
      <w:r>
        <w:rPr>
          <w:rFonts w:cs="Arial"/>
        </w:rPr>
        <w:t>/s/:  Stephanie Tuin</w:t>
      </w:r>
    </w:p>
    <w:p w:rsidR="00157667" w:rsidRPr="00157667" w:rsidRDefault="00157667" w:rsidP="00157667">
      <w:pPr>
        <w:rPr>
          <w:rFonts w:cs="Arial"/>
        </w:rPr>
      </w:pPr>
      <w:r w:rsidRPr="00157667">
        <w:rPr>
          <w:rFonts w:cs="Arial"/>
        </w:rPr>
        <w:t>City Clerk</w:t>
      </w:r>
    </w:p>
    <w:p w:rsidR="00592DBD" w:rsidRDefault="00592DBD">
      <w:pPr>
        <w:rPr>
          <w:rFonts w:cs="Arial"/>
        </w:rPr>
      </w:pPr>
      <w:r>
        <w:rPr>
          <w:rFonts w:cs="Arial"/>
        </w:rPr>
        <w:br w:type="page"/>
      </w:r>
    </w:p>
    <w:p w:rsidR="00931E29" w:rsidRPr="00157667" w:rsidRDefault="00592DBD">
      <w:pPr>
        <w:rPr>
          <w:rFonts w:cs="Arial"/>
        </w:rPr>
      </w:pPr>
      <w:r>
        <w:rPr>
          <w:rFonts w:cs="Arial"/>
          <w:noProof/>
        </w:rPr>
        <w:lastRenderedPageBreak/>
        <w:drawing>
          <wp:inline distT="0" distB="0" distL="0" distR="0">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4640_Page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bookmarkStart w:id="0" w:name="_GoBack"/>
      <w:r>
        <w:rPr>
          <w:rFonts w:cs="Arial"/>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4640_Page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bookmarkEnd w:id="0"/>
    </w:p>
    <w:sectPr w:rsidR="00931E29" w:rsidRPr="00157667" w:rsidSect="004D55B3">
      <w:headerReference w:type="first" r:id="rId9"/>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E3A" w:rsidRDefault="000F2E3A">
      <w:r>
        <w:separator/>
      </w:r>
    </w:p>
  </w:endnote>
  <w:endnote w:type="continuationSeparator" w:id="0">
    <w:p w:rsidR="000F2E3A" w:rsidRDefault="000F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E3A" w:rsidRDefault="000F2E3A">
      <w:r>
        <w:separator/>
      </w:r>
    </w:p>
  </w:footnote>
  <w:footnote w:type="continuationSeparator" w:id="0">
    <w:p w:rsidR="000F2E3A" w:rsidRDefault="000F2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AB" w:rsidRDefault="000F2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67"/>
    <w:rsid w:val="000F2E3A"/>
    <w:rsid w:val="00157667"/>
    <w:rsid w:val="002E04ED"/>
    <w:rsid w:val="00592DBD"/>
    <w:rsid w:val="005A575F"/>
    <w:rsid w:val="0093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6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7667"/>
    <w:pPr>
      <w:tabs>
        <w:tab w:val="center" w:pos="4680"/>
        <w:tab w:val="right" w:pos="9360"/>
      </w:tabs>
    </w:pPr>
  </w:style>
  <w:style w:type="character" w:customStyle="1" w:styleId="HeaderChar">
    <w:name w:val="Header Char"/>
    <w:basedOn w:val="DefaultParagraphFont"/>
    <w:link w:val="Header"/>
    <w:uiPriority w:val="99"/>
    <w:rsid w:val="00157667"/>
    <w:rPr>
      <w:rFonts w:eastAsia="Times New Roman" w:cs="Times New Roman"/>
      <w:szCs w:val="20"/>
    </w:rPr>
  </w:style>
  <w:style w:type="paragraph" w:styleId="BalloonText">
    <w:name w:val="Balloon Text"/>
    <w:basedOn w:val="Normal"/>
    <w:link w:val="BalloonTextChar"/>
    <w:uiPriority w:val="99"/>
    <w:semiHidden/>
    <w:unhideWhenUsed/>
    <w:rsid w:val="00592DBD"/>
    <w:rPr>
      <w:rFonts w:ascii="Tahoma" w:hAnsi="Tahoma" w:cs="Tahoma"/>
      <w:sz w:val="16"/>
      <w:szCs w:val="16"/>
    </w:rPr>
  </w:style>
  <w:style w:type="character" w:customStyle="1" w:styleId="BalloonTextChar">
    <w:name w:val="Balloon Text Char"/>
    <w:basedOn w:val="DefaultParagraphFont"/>
    <w:link w:val="BalloonText"/>
    <w:uiPriority w:val="99"/>
    <w:semiHidden/>
    <w:rsid w:val="00592D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6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7667"/>
    <w:pPr>
      <w:tabs>
        <w:tab w:val="center" w:pos="4680"/>
        <w:tab w:val="right" w:pos="9360"/>
      </w:tabs>
    </w:pPr>
  </w:style>
  <w:style w:type="character" w:customStyle="1" w:styleId="HeaderChar">
    <w:name w:val="Header Char"/>
    <w:basedOn w:val="DefaultParagraphFont"/>
    <w:link w:val="Header"/>
    <w:uiPriority w:val="99"/>
    <w:rsid w:val="00157667"/>
    <w:rPr>
      <w:rFonts w:eastAsia="Times New Roman" w:cs="Times New Roman"/>
      <w:szCs w:val="20"/>
    </w:rPr>
  </w:style>
  <w:style w:type="paragraph" w:styleId="BalloonText">
    <w:name w:val="Balloon Text"/>
    <w:basedOn w:val="Normal"/>
    <w:link w:val="BalloonTextChar"/>
    <w:uiPriority w:val="99"/>
    <w:semiHidden/>
    <w:unhideWhenUsed/>
    <w:rsid w:val="00592DBD"/>
    <w:rPr>
      <w:rFonts w:ascii="Tahoma" w:hAnsi="Tahoma" w:cs="Tahoma"/>
      <w:sz w:val="16"/>
      <w:szCs w:val="16"/>
    </w:rPr>
  </w:style>
  <w:style w:type="character" w:customStyle="1" w:styleId="BalloonTextChar">
    <w:name w:val="Balloon Text Char"/>
    <w:basedOn w:val="DefaultParagraphFont"/>
    <w:link w:val="BalloonText"/>
    <w:uiPriority w:val="99"/>
    <w:semiHidden/>
    <w:rsid w:val="00592D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354</Words>
  <Characters>2023</Characters>
  <Application>Microsoft Office Word</Application>
  <DocSecurity>0</DocSecurity>
  <Lines>16</Lines>
  <Paragraphs>4</Paragraphs>
  <ScaleCrop>false</ScaleCrop>
  <Company>City of Grand Junction</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dcterms:created xsi:type="dcterms:W3CDTF">2014-11-05T19:38:00Z</dcterms:created>
  <dcterms:modified xsi:type="dcterms:W3CDTF">2014-12-31T16:04:00Z</dcterms:modified>
</cp:coreProperties>
</file>