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AA" w:rsidRPr="000262AA" w:rsidRDefault="000262AA" w:rsidP="000262AA">
      <w:pPr>
        <w:keepNext/>
        <w:spacing w:after="0" w:line="240" w:lineRule="auto"/>
        <w:jc w:val="center"/>
        <w:outlineLvl w:val="0"/>
        <w:rPr>
          <w:rFonts w:ascii="Arial" w:eastAsia="Times New Roman" w:hAnsi="Arial" w:cs="Arial"/>
          <w:b/>
          <w:sz w:val="24"/>
          <w:szCs w:val="24"/>
        </w:rPr>
      </w:pPr>
      <w:r w:rsidRPr="000262AA">
        <w:rPr>
          <w:rFonts w:ascii="Arial" w:eastAsia="Times New Roman" w:hAnsi="Arial" w:cs="Arial"/>
          <w:b/>
          <w:sz w:val="24"/>
          <w:szCs w:val="24"/>
        </w:rPr>
        <w:t xml:space="preserve">ORDINANCE NO. </w:t>
      </w:r>
      <w:r>
        <w:rPr>
          <w:rFonts w:ascii="Arial" w:eastAsia="Times New Roman" w:hAnsi="Arial" w:cs="Arial"/>
          <w:b/>
          <w:sz w:val="24"/>
          <w:szCs w:val="24"/>
        </w:rPr>
        <w:t>4716</w:t>
      </w:r>
    </w:p>
    <w:p w:rsidR="000262AA" w:rsidRPr="000262AA" w:rsidRDefault="000262AA" w:rsidP="000262AA">
      <w:pPr>
        <w:spacing w:after="0" w:line="240" w:lineRule="auto"/>
        <w:rPr>
          <w:rFonts w:ascii="Arial" w:eastAsia="Calibri" w:hAnsi="Arial" w:cs="Arial"/>
          <w:sz w:val="24"/>
          <w:szCs w:val="24"/>
        </w:rPr>
      </w:pPr>
    </w:p>
    <w:p w:rsidR="000262AA" w:rsidRPr="000262AA" w:rsidRDefault="000262AA" w:rsidP="000262AA">
      <w:pPr>
        <w:spacing w:after="0" w:line="240" w:lineRule="auto"/>
        <w:jc w:val="center"/>
        <w:rPr>
          <w:rFonts w:ascii="Arial" w:eastAsia="Calibri" w:hAnsi="Arial" w:cs="Arial"/>
          <w:b/>
          <w:sz w:val="24"/>
          <w:szCs w:val="24"/>
        </w:rPr>
      </w:pPr>
      <w:r w:rsidRPr="000262AA">
        <w:rPr>
          <w:rFonts w:ascii="Arial" w:eastAsia="Calibri" w:hAnsi="Arial" w:cs="Arial"/>
          <w:b/>
          <w:sz w:val="24"/>
          <w:szCs w:val="24"/>
        </w:rPr>
        <w:t>AN ORDINANCE MAKING SUPPLEMENTAL APPROPRIATIONS TO THE 2016 BUDGET OF THE CITY OF GRAND JUNCTION, COLORADO</w:t>
      </w:r>
    </w:p>
    <w:p w:rsidR="000262AA" w:rsidRPr="000262AA" w:rsidRDefault="000262AA" w:rsidP="000262AA">
      <w:pPr>
        <w:spacing w:after="0" w:line="240" w:lineRule="auto"/>
        <w:rPr>
          <w:rFonts w:ascii="Arial" w:eastAsia="Calibri" w:hAnsi="Arial" w:cs="Arial"/>
          <w:b/>
          <w:sz w:val="24"/>
          <w:szCs w:val="24"/>
        </w:rPr>
      </w:pPr>
    </w:p>
    <w:p w:rsidR="000262AA" w:rsidRPr="000262AA" w:rsidRDefault="000262AA" w:rsidP="000262AA">
      <w:pPr>
        <w:spacing w:after="120" w:line="240" w:lineRule="auto"/>
        <w:rPr>
          <w:rFonts w:ascii="Arial" w:eastAsia="Times New Roman" w:hAnsi="Arial" w:cs="Arial"/>
          <w:sz w:val="24"/>
          <w:szCs w:val="24"/>
        </w:rPr>
      </w:pPr>
      <w:r w:rsidRPr="000262AA">
        <w:rPr>
          <w:rFonts w:ascii="Arial" w:eastAsia="Times New Roman" w:hAnsi="Arial" w:cs="Arial"/>
          <w:sz w:val="24"/>
          <w:szCs w:val="24"/>
        </w:rPr>
        <w:t>BE IT ORDAINED BY THE CITY COUNCIL OF THE CITY OF GRAND JUNCTION:</w:t>
      </w:r>
    </w:p>
    <w:p w:rsidR="000262AA" w:rsidRPr="000262AA" w:rsidRDefault="000262AA" w:rsidP="000262AA">
      <w:pPr>
        <w:spacing w:after="0" w:line="240" w:lineRule="auto"/>
        <w:rPr>
          <w:rFonts w:ascii="Arial" w:eastAsia="Calibri" w:hAnsi="Arial" w:cs="Arial"/>
          <w:sz w:val="24"/>
          <w:szCs w:val="24"/>
        </w:rPr>
      </w:pPr>
    </w:p>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That the following sums of money be appropriated from unappropriated fund balance and additional revenues to the funds indicated for the year ending December 31, 2016, to be expended from such funds as follows:</w:t>
      </w:r>
    </w:p>
    <w:p w:rsidR="000262AA" w:rsidRPr="000262AA" w:rsidRDefault="000262AA" w:rsidP="000262AA">
      <w:pPr>
        <w:spacing w:after="0" w:line="240" w:lineRule="auto"/>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170"/>
        <w:gridCol w:w="1803"/>
      </w:tblGrid>
      <w:tr w:rsidR="000262AA" w:rsidRPr="000262AA" w:rsidTr="009004AA">
        <w:trPr>
          <w:trHeight w:val="288"/>
        </w:trPr>
        <w:tc>
          <w:tcPr>
            <w:tcW w:w="4788" w:type="dxa"/>
            <w:shd w:val="clear" w:color="auto" w:fill="auto"/>
            <w:noWrap/>
            <w:hideMark/>
          </w:tcPr>
          <w:p w:rsidR="000262AA" w:rsidRPr="000262AA" w:rsidRDefault="000262AA" w:rsidP="000262AA">
            <w:pPr>
              <w:spacing w:after="0" w:line="240" w:lineRule="auto"/>
              <w:rPr>
                <w:rFonts w:ascii="Arial" w:eastAsia="Calibri" w:hAnsi="Arial" w:cs="Arial"/>
                <w:b/>
                <w:bCs/>
                <w:sz w:val="24"/>
                <w:szCs w:val="24"/>
              </w:rPr>
            </w:pPr>
            <w:r w:rsidRPr="000262AA">
              <w:rPr>
                <w:rFonts w:ascii="Arial" w:eastAsia="Calibri" w:hAnsi="Arial" w:cs="Arial"/>
                <w:b/>
                <w:bCs/>
                <w:sz w:val="24"/>
                <w:szCs w:val="24"/>
              </w:rPr>
              <w:t>Fund Name</w:t>
            </w:r>
          </w:p>
        </w:tc>
        <w:tc>
          <w:tcPr>
            <w:tcW w:w="1170" w:type="dxa"/>
            <w:shd w:val="clear" w:color="auto" w:fill="auto"/>
            <w:noWrap/>
            <w:hideMark/>
          </w:tcPr>
          <w:p w:rsidR="000262AA" w:rsidRPr="000262AA" w:rsidRDefault="000262AA" w:rsidP="000262AA">
            <w:pPr>
              <w:spacing w:after="0" w:line="240" w:lineRule="auto"/>
              <w:rPr>
                <w:rFonts w:ascii="Arial" w:eastAsia="Calibri" w:hAnsi="Arial" w:cs="Arial"/>
                <w:b/>
                <w:bCs/>
                <w:sz w:val="24"/>
                <w:szCs w:val="24"/>
              </w:rPr>
            </w:pPr>
            <w:r w:rsidRPr="000262AA">
              <w:rPr>
                <w:rFonts w:ascii="Arial" w:eastAsia="Calibri" w:hAnsi="Arial" w:cs="Arial"/>
                <w:b/>
                <w:bCs/>
                <w:sz w:val="24"/>
                <w:szCs w:val="24"/>
              </w:rPr>
              <w:t>Fund #</w:t>
            </w:r>
          </w:p>
        </w:tc>
        <w:tc>
          <w:tcPr>
            <w:tcW w:w="1803" w:type="dxa"/>
            <w:shd w:val="clear" w:color="auto" w:fill="auto"/>
            <w:noWrap/>
            <w:hideMark/>
          </w:tcPr>
          <w:p w:rsidR="000262AA" w:rsidRPr="000262AA" w:rsidRDefault="000262AA" w:rsidP="000262AA">
            <w:pPr>
              <w:spacing w:after="0" w:line="240" w:lineRule="auto"/>
              <w:rPr>
                <w:rFonts w:ascii="Arial" w:eastAsia="Calibri" w:hAnsi="Arial" w:cs="Arial"/>
                <w:b/>
                <w:bCs/>
                <w:sz w:val="24"/>
                <w:szCs w:val="24"/>
              </w:rPr>
            </w:pPr>
            <w:r w:rsidRPr="000262AA">
              <w:rPr>
                <w:rFonts w:ascii="Arial" w:eastAsia="Calibri" w:hAnsi="Arial" w:cs="Arial"/>
                <w:b/>
                <w:bCs/>
                <w:sz w:val="24"/>
                <w:szCs w:val="24"/>
              </w:rPr>
              <w:t>Appropriation</w:t>
            </w:r>
          </w:p>
        </w:tc>
      </w:tr>
      <w:tr w:rsidR="000262AA" w:rsidRPr="000262AA" w:rsidTr="009004AA">
        <w:trPr>
          <w:trHeight w:val="288"/>
        </w:trPr>
        <w:tc>
          <w:tcPr>
            <w:tcW w:w="4788"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General Fund</w:t>
            </w:r>
          </w:p>
        </w:tc>
        <w:tc>
          <w:tcPr>
            <w:tcW w:w="1170"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100</w:t>
            </w:r>
          </w:p>
        </w:tc>
        <w:tc>
          <w:tcPr>
            <w:tcW w:w="1803"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1,753,436</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Enhanced 911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101</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195,285</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Visitor &amp; Convention Bureau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102</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94,309</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Parkland Expansion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105</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386,716</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Sales Tax CIP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201</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1,741,562</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Storm Drainage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202</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100,543</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Fleet and Equipment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402</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1,708,767</w:t>
            </w:r>
          </w:p>
        </w:tc>
      </w:tr>
      <w:tr w:rsidR="000262AA" w:rsidRPr="000262AA" w:rsidTr="009004AA">
        <w:trPr>
          <w:trHeight w:val="288"/>
        </w:trPr>
        <w:tc>
          <w:tcPr>
            <w:tcW w:w="4788"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proofErr w:type="spellStart"/>
            <w:r w:rsidRPr="000262AA">
              <w:rPr>
                <w:rFonts w:ascii="Arial" w:eastAsia="Calibri" w:hAnsi="Arial" w:cs="Arial"/>
                <w:sz w:val="24"/>
                <w:szCs w:val="24"/>
              </w:rPr>
              <w:t>Self Insurance</w:t>
            </w:r>
            <w:proofErr w:type="spellEnd"/>
            <w:r w:rsidRPr="000262AA">
              <w:rPr>
                <w:rFonts w:ascii="Arial" w:eastAsia="Calibri" w:hAnsi="Arial" w:cs="Arial"/>
                <w:sz w:val="24"/>
                <w:szCs w:val="24"/>
              </w:rPr>
              <w:t xml:space="preserve">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404</w:t>
            </w:r>
          </w:p>
        </w:tc>
        <w:tc>
          <w:tcPr>
            <w:tcW w:w="1803"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21,250</w:t>
            </w:r>
          </w:p>
        </w:tc>
      </w:tr>
      <w:tr w:rsidR="000262AA" w:rsidRPr="000262AA" w:rsidTr="009004AA">
        <w:trPr>
          <w:trHeight w:val="288"/>
        </w:trPr>
        <w:tc>
          <w:tcPr>
            <w:tcW w:w="4788"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Communication Center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405</w:t>
            </w:r>
          </w:p>
        </w:tc>
        <w:tc>
          <w:tcPr>
            <w:tcW w:w="1803"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195,285</w:t>
            </w:r>
          </w:p>
        </w:tc>
      </w:tr>
      <w:tr w:rsidR="000262AA" w:rsidRPr="000262AA" w:rsidTr="009004AA">
        <w:trPr>
          <w:trHeight w:val="288"/>
        </w:trPr>
        <w:tc>
          <w:tcPr>
            <w:tcW w:w="4788"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Facilities Management Fund</w:t>
            </w:r>
          </w:p>
        </w:tc>
        <w:tc>
          <w:tcPr>
            <w:tcW w:w="1170"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406</w:t>
            </w:r>
          </w:p>
        </w:tc>
        <w:tc>
          <w:tcPr>
            <w:tcW w:w="1803" w:type="dxa"/>
            <w:shd w:val="clear" w:color="auto" w:fill="auto"/>
            <w:noWrap/>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128,632</w:t>
            </w:r>
          </w:p>
        </w:tc>
      </w:tr>
      <w:tr w:rsidR="000262AA" w:rsidRPr="000262AA" w:rsidTr="009004AA">
        <w:trPr>
          <w:trHeight w:val="288"/>
        </w:trPr>
        <w:tc>
          <w:tcPr>
            <w:tcW w:w="4788"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Joint Sewer System Fund</w:t>
            </w:r>
          </w:p>
        </w:tc>
        <w:tc>
          <w:tcPr>
            <w:tcW w:w="1170"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900</w:t>
            </w:r>
          </w:p>
        </w:tc>
        <w:tc>
          <w:tcPr>
            <w:tcW w:w="1803" w:type="dxa"/>
            <w:shd w:val="clear" w:color="auto" w:fill="auto"/>
            <w:noWrap/>
            <w:hideMark/>
          </w:tcPr>
          <w:p w:rsidR="000262AA" w:rsidRPr="000262AA" w:rsidRDefault="000262AA" w:rsidP="000262AA">
            <w:pPr>
              <w:spacing w:after="0" w:line="240" w:lineRule="auto"/>
              <w:rPr>
                <w:rFonts w:ascii="Arial" w:eastAsia="Calibri" w:hAnsi="Arial" w:cs="Arial"/>
                <w:sz w:val="24"/>
                <w:szCs w:val="24"/>
              </w:rPr>
            </w:pPr>
            <w:r w:rsidRPr="000262AA">
              <w:rPr>
                <w:rFonts w:ascii="Arial" w:eastAsia="Calibri" w:hAnsi="Arial" w:cs="Arial"/>
                <w:sz w:val="24"/>
                <w:szCs w:val="24"/>
              </w:rPr>
              <w:t>$       976,919</w:t>
            </w:r>
          </w:p>
        </w:tc>
      </w:tr>
    </w:tbl>
    <w:p w:rsidR="000262AA" w:rsidRPr="000262AA" w:rsidRDefault="000262AA" w:rsidP="000262AA">
      <w:pPr>
        <w:spacing w:after="0" w:line="240" w:lineRule="auto"/>
        <w:rPr>
          <w:rFonts w:ascii="Arial" w:eastAsia="Calibri"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r w:rsidRPr="000262AA">
        <w:rPr>
          <w:rFonts w:ascii="Arial" w:eastAsia="Times New Roman" w:hAnsi="Arial" w:cs="Arial"/>
          <w:b/>
          <w:sz w:val="24"/>
          <w:szCs w:val="24"/>
        </w:rPr>
        <w:t>INTRODUCED AND ORDERED PUBLISHED IN PAMPHLET FORM</w:t>
      </w:r>
      <w:r w:rsidRPr="000262AA">
        <w:rPr>
          <w:rFonts w:ascii="Arial" w:eastAsia="Times New Roman" w:hAnsi="Arial" w:cs="Arial"/>
          <w:sz w:val="24"/>
          <w:szCs w:val="24"/>
        </w:rPr>
        <w:t xml:space="preserve"> this 20th day of July, 2016</w:t>
      </w: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r w:rsidRPr="000262AA">
        <w:rPr>
          <w:rFonts w:ascii="Arial" w:eastAsia="Times New Roman" w:hAnsi="Arial" w:cs="Arial"/>
          <w:b/>
          <w:sz w:val="24"/>
          <w:szCs w:val="24"/>
        </w:rPr>
        <w:t>ADOPTED ON FINAL PASSAGE ORDERED PUBLISHED IN PAMPHLET FORM</w:t>
      </w:r>
      <w:r w:rsidRPr="000262AA">
        <w:rPr>
          <w:rFonts w:ascii="Arial" w:eastAsia="Times New Roman" w:hAnsi="Arial" w:cs="Arial"/>
          <w:sz w:val="24"/>
          <w:szCs w:val="24"/>
        </w:rPr>
        <w:t xml:space="preserve"> this </w:t>
      </w:r>
      <w:r>
        <w:rPr>
          <w:rFonts w:ascii="Arial" w:eastAsia="Times New Roman" w:hAnsi="Arial" w:cs="Arial"/>
          <w:sz w:val="24"/>
          <w:szCs w:val="24"/>
        </w:rPr>
        <w:t>17</w:t>
      </w:r>
      <w:r w:rsidRPr="000262AA">
        <w:rPr>
          <w:rFonts w:ascii="Arial" w:eastAsia="Times New Roman" w:hAnsi="Arial" w:cs="Arial"/>
          <w:sz w:val="24"/>
          <w:szCs w:val="24"/>
          <w:vertAlign w:val="superscript"/>
        </w:rPr>
        <w:t>th</w:t>
      </w:r>
      <w:r>
        <w:rPr>
          <w:rFonts w:ascii="Arial" w:eastAsia="Times New Roman" w:hAnsi="Arial" w:cs="Arial"/>
          <w:sz w:val="24"/>
          <w:szCs w:val="24"/>
        </w:rPr>
        <w:t xml:space="preserve"> </w:t>
      </w:r>
      <w:r w:rsidRPr="000262AA">
        <w:rPr>
          <w:rFonts w:ascii="Arial" w:eastAsia="Times New Roman" w:hAnsi="Arial" w:cs="Arial"/>
          <w:sz w:val="24"/>
          <w:szCs w:val="24"/>
        </w:rPr>
        <w:t xml:space="preserve">day of </w:t>
      </w:r>
      <w:r>
        <w:rPr>
          <w:rFonts w:ascii="Arial" w:eastAsia="Times New Roman" w:hAnsi="Arial" w:cs="Arial"/>
          <w:sz w:val="24"/>
          <w:szCs w:val="24"/>
        </w:rPr>
        <w:t>August</w:t>
      </w:r>
      <w:r w:rsidRPr="000262AA">
        <w:rPr>
          <w:rFonts w:ascii="Arial" w:eastAsia="Times New Roman" w:hAnsi="Arial" w:cs="Arial"/>
          <w:sz w:val="24"/>
          <w:szCs w:val="24"/>
        </w:rPr>
        <w:t>, 2016.</w:t>
      </w: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ind w:left="5040"/>
        <w:rPr>
          <w:rFonts w:ascii="Arial" w:eastAsia="Times New Roman" w:hAnsi="Arial" w:cs="Arial"/>
          <w:sz w:val="24"/>
          <w:szCs w:val="24"/>
        </w:rPr>
      </w:pPr>
      <w:r w:rsidRPr="000262AA">
        <w:rPr>
          <w:rFonts w:ascii="Arial" w:eastAsia="Times New Roman" w:hAnsi="Arial" w:cs="Arial"/>
          <w:sz w:val="24"/>
          <w:szCs w:val="24"/>
        </w:rPr>
        <w:t xml:space="preserve">                                                                                              </w:t>
      </w:r>
      <w:r>
        <w:rPr>
          <w:rFonts w:ascii="Arial" w:eastAsia="Times New Roman" w:hAnsi="Arial" w:cs="Arial"/>
          <w:sz w:val="24"/>
          <w:szCs w:val="24"/>
        </w:rPr>
        <w:t>/s/ Phyllis Norris</w:t>
      </w:r>
    </w:p>
    <w:p w:rsidR="000262AA" w:rsidRPr="000262AA" w:rsidRDefault="000262AA" w:rsidP="000262AA">
      <w:pPr>
        <w:spacing w:after="0" w:line="240" w:lineRule="auto"/>
        <w:rPr>
          <w:rFonts w:ascii="Arial" w:eastAsia="Times New Roman" w:hAnsi="Arial" w:cs="Arial"/>
          <w:sz w:val="24"/>
          <w:szCs w:val="24"/>
        </w:rPr>
      </w:pPr>
      <w:r w:rsidRPr="000262AA">
        <w:rPr>
          <w:rFonts w:ascii="Arial" w:eastAsia="Times New Roman" w:hAnsi="Arial" w:cs="Arial"/>
          <w:sz w:val="24"/>
          <w:szCs w:val="24"/>
        </w:rPr>
        <w:t xml:space="preserve">                                                                           President of the Council</w:t>
      </w:r>
    </w:p>
    <w:p w:rsidR="000262AA" w:rsidRPr="000262AA" w:rsidRDefault="000262AA" w:rsidP="000262AA">
      <w:pPr>
        <w:spacing w:after="0" w:line="240" w:lineRule="auto"/>
        <w:rPr>
          <w:rFonts w:ascii="Arial" w:eastAsia="Times New Roman" w:hAnsi="Arial" w:cs="Arial"/>
          <w:sz w:val="24"/>
          <w:szCs w:val="24"/>
        </w:rPr>
      </w:pPr>
      <w:r w:rsidRPr="000262AA">
        <w:rPr>
          <w:rFonts w:ascii="Arial" w:eastAsia="Times New Roman" w:hAnsi="Arial" w:cs="Arial"/>
          <w:sz w:val="24"/>
          <w:szCs w:val="24"/>
        </w:rPr>
        <w:t>Attest:</w:t>
      </w: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p>
    <w:p w:rsidR="000262AA" w:rsidRPr="000262AA" w:rsidRDefault="000262AA" w:rsidP="000262AA">
      <w:pPr>
        <w:spacing w:after="0" w:line="240" w:lineRule="auto"/>
        <w:rPr>
          <w:rFonts w:ascii="Arial" w:eastAsia="Times New Roman" w:hAnsi="Arial" w:cs="Arial"/>
          <w:sz w:val="24"/>
          <w:szCs w:val="24"/>
        </w:rPr>
      </w:pPr>
      <w:r>
        <w:rPr>
          <w:rFonts w:ascii="Arial" w:eastAsia="Times New Roman" w:hAnsi="Arial" w:cs="Arial"/>
          <w:sz w:val="24"/>
          <w:szCs w:val="24"/>
        </w:rPr>
        <w:t>/s/ Stephanie Tuin</w:t>
      </w:r>
      <w:bookmarkStart w:id="0" w:name="_GoBack"/>
      <w:bookmarkEnd w:id="0"/>
    </w:p>
    <w:p w:rsidR="000262AA" w:rsidRPr="000262AA" w:rsidRDefault="000262AA" w:rsidP="000262AA">
      <w:pPr>
        <w:spacing w:after="0" w:line="240" w:lineRule="auto"/>
        <w:rPr>
          <w:rFonts w:ascii="Arial" w:eastAsia="Times New Roman" w:hAnsi="Arial" w:cs="Arial"/>
          <w:sz w:val="24"/>
          <w:szCs w:val="24"/>
        </w:rPr>
      </w:pPr>
      <w:r w:rsidRPr="000262AA">
        <w:rPr>
          <w:rFonts w:ascii="Arial" w:eastAsia="Times New Roman" w:hAnsi="Arial" w:cs="Arial"/>
          <w:sz w:val="24"/>
          <w:szCs w:val="24"/>
        </w:rPr>
        <w:t>City Clerk</w:t>
      </w:r>
    </w:p>
    <w:p w:rsidR="00776EEF" w:rsidRDefault="00776EEF"/>
    <w:sectPr w:rsidR="00776EEF"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2B1" w:rsidRDefault="006C32B1" w:rsidP="000262AA">
      <w:pPr>
        <w:spacing w:after="0" w:line="240" w:lineRule="auto"/>
      </w:pPr>
      <w:r>
        <w:separator/>
      </w:r>
    </w:p>
  </w:endnote>
  <w:endnote w:type="continuationSeparator" w:id="0">
    <w:p w:rsidR="006C32B1" w:rsidRDefault="006C32B1" w:rsidP="0002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2B1" w:rsidRDefault="006C32B1" w:rsidP="000262AA">
      <w:pPr>
        <w:spacing w:after="0" w:line="240" w:lineRule="auto"/>
      </w:pPr>
      <w:r>
        <w:separator/>
      </w:r>
    </w:p>
  </w:footnote>
  <w:footnote w:type="continuationSeparator" w:id="0">
    <w:p w:rsidR="006C32B1" w:rsidRDefault="006C32B1" w:rsidP="00026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AA"/>
    <w:rsid w:val="000262AA"/>
    <w:rsid w:val="00510E0A"/>
    <w:rsid w:val="006C32B1"/>
    <w:rsid w:val="00776EEF"/>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9A84"/>
  <w15:chartTrackingRefBased/>
  <w15:docId w15:val="{A5823106-0247-48C1-87C5-7DD794D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2AA"/>
    <w:pPr>
      <w:tabs>
        <w:tab w:val="center" w:pos="4680"/>
        <w:tab w:val="right" w:pos="9360"/>
      </w:tabs>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rsid w:val="000262AA"/>
    <w:rPr>
      <w:rFonts w:ascii="Arial" w:eastAsia="Calibri" w:hAnsi="Arial" w:cs="Arial"/>
      <w:sz w:val="24"/>
      <w:szCs w:val="24"/>
    </w:rPr>
  </w:style>
  <w:style w:type="paragraph" w:styleId="Footer">
    <w:name w:val="footer"/>
    <w:basedOn w:val="Normal"/>
    <w:link w:val="FooterChar"/>
    <w:uiPriority w:val="99"/>
    <w:unhideWhenUsed/>
    <w:rsid w:val="00026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AA"/>
  </w:style>
  <w:style w:type="paragraph" w:styleId="BalloonText">
    <w:name w:val="Balloon Text"/>
    <w:basedOn w:val="Normal"/>
    <w:link w:val="BalloonTextChar"/>
    <w:uiPriority w:val="99"/>
    <w:semiHidden/>
    <w:unhideWhenUsed/>
    <w:rsid w:val="0002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2016-08-19T17:17:00Z</cp:lastPrinted>
  <dcterms:created xsi:type="dcterms:W3CDTF">2016-08-19T17:16:00Z</dcterms:created>
  <dcterms:modified xsi:type="dcterms:W3CDTF">2016-08-19T17:18:00Z</dcterms:modified>
</cp:coreProperties>
</file>