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DF8" w:rsidRDefault="00142DF8" w:rsidP="00142DF8">
      <w:pPr>
        <w:spacing w:after="0" w:line="240" w:lineRule="auto"/>
        <w:jc w:val="center"/>
        <w:rPr>
          <w:rFonts w:eastAsia="Calibri" w:cs="Arial"/>
          <w:b/>
        </w:rPr>
      </w:pPr>
      <w:r w:rsidRPr="00142DF8">
        <w:rPr>
          <w:rFonts w:eastAsia="Calibri" w:cs="Arial"/>
          <w:b/>
        </w:rPr>
        <w:t xml:space="preserve">RESOLUTION NO. </w:t>
      </w:r>
      <w:r>
        <w:rPr>
          <w:rFonts w:eastAsia="Calibri" w:cs="Arial"/>
          <w:b/>
        </w:rPr>
        <w:t>55</w:t>
      </w:r>
      <w:r w:rsidRPr="00142DF8">
        <w:rPr>
          <w:rFonts w:eastAsia="Calibri" w:cs="Arial"/>
          <w:b/>
        </w:rPr>
        <w:t>-16</w:t>
      </w:r>
    </w:p>
    <w:p w:rsidR="00142DF8" w:rsidRPr="00142DF8" w:rsidRDefault="00142DF8" w:rsidP="00142DF8">
      <w:pPr>
        <w:spacing w:after="0" w:line="240" w:lineRule="auto"/>
        <w:jc w:val="center"/>
        <w:rPr>
          <w:rFonts w:eastAsia="Calibri" w:cs="Arial"/>
          <w:b/>
        </w:rPr>
      </w:pPr>
    </w:p>
    <w:p w:rsidR="00142DF8" w:rsidRPr="00142DF8" w:rsidRDefault="00142DF8" w:rsidP="00142DF8">
      <w:pPr>
        <w:spacing w:after="0" w:line="240" w:lineRule="auto"/>
        <w:jc w:val="center"/>
        <w:rPr>
          <w:rFonts w:eastAsia="Calibri" w:cs="Arial"/>
          <w:b/>
        </w:rPr>
      </w:pPr>
      <w:r w:rsidRPr="00142DF8">
        <w:rPr>
          <w:rFonts w:eastAsia="Calibri" w:cs="Arial"/>
          <w:b/>
        </w:rPr>
        <w:t>A RESOLUTION ADOPTING FEES AND CHARGES FOR WATER, WASTEWATER, SOLID WASTE, TWO RIVERS CONVENTION CENTER, AVALON THEATRE, GOLF, AND AMBULANCE TRANSPORT</w:t>
      </w: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b/>
        </w:rPr>
      </w:pPr>
      <w:r w:rsidRPr="00142DF8">
        <w:rPr>
          <w:rFonts w:eastAsia="Calibri" w:cs="Arial"/>
          <w:b/>
        </w:rPr>
        <w:t>Recitals:</w:t>
      </w:r>
    </w:p>
    <w:p w:rsidR="00142DF8" w:rsidRPr="00142DF8" w:rsidRDefault="00142DF8" w:rsidP="00142DF8">
      <w:pPr>
        <w:spacing w:after="0" w:line="240" w:lineRule="auto"/>
        <w:rPr>
          <w:rFonts w:eastAsia="Calibri" w:cs="Arial"/>
          <w:b/>
        </w:rPr>
      </w:pPr>
    </w:p>
    <w:p w:rsidR="00142DF8" w:rsidRPr="00142DF8" w:rsidRDefault="00142DF8" w:rsidP="00142DF8">
      <w:pPr>
        <w:spacing w:after="0" w:line="240" w:lineRule="auto"/>
        <w:rPr>
          <w:rFonts w:eastAsia="Calibri" w:cs="Arial"/>
        </w:rPr>
      </w:pPr>
      <w:r w:rsidRPr="00142DF8">
        <w:rPr>
          <w:rFonts w:eastAsia="Calibri" w:cs="Arial"/>
        </w:rPr>
        <w:t>The City of Grand Junction establishes rates for utility service, convention services, golf, and ambulance service on a periodic basis, and by this resolution, the City Council establishes these rates to implement decisions made in the long-term financial plans for the Utilities, Convention and Visitor Services, Parks and Recreation, and Fire Departments.</w:t>
      </w: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b/>
        </w:rPr>
      </w:pPr>
      <w:r w:rsidRPr="00142DF8">
        <w:rPr>
          <w:rFonts w:eastAsia="Calibri" w:cs="Arial"/>
          <w:b/>
        </w:rPr>
        <w:t>Now, therefore, be it resolved that:</w:t>
      </w: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r w:rsidRPr="00142DF8">
        <w:rPr>
          <w:rFonts w:eastAsia="Calibri" w:cs="Arial"/>
        </w:rPr>
        <w:t>Effective January 1, 2017 rates for utility services, convention services, golf, and ambulance service change according to the following schedule:</w:t>
      </w: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tbl>
      <w:tblPr>
        <w:tblW w:w="8475" w:type="dxa"/>
        <w:tblInd w:w="93" w:type="dxa"/>
        <w:tblLook w:val="04A0" w:firstRow="1" w:lastRow="0" w:firstColumn="1" w:lastColumn="0" w:noHBand="0" w:noVBand="1"/>
      </w:tblPr>
      <w:tblGrid>
        <w:gridCol w:w="4245"/>
        <w:gridCol w:w="1440"/>
        <w:gridCol w:w="1440"/>
        <w:gridCol w:w="1350"/>
      </w:tblGrid>
      <w:tr w:rsidR="00142DF8" w:rsidRPr="00142DF8" w:rsidTr="00EE1838">
        <w:trPr>
          <w:trHeight w:val="360"/>
        </w:trPr>
        <w:tc>
          <w:tcPr>
            <w:tcW w:w="8475" w:type="dxa"/>
            <w:gridSpan w:val="4"/>
            <w:tcBorders>
              <w:top w:val="single" w:sz="4" w:space="0" w:color="auto"/>
              <w:left w:val="single" w:sz="4" w:space="0" w:color="auto"/>
              <w:bottom w:val="nil"/>
              <w:right w:val="single" w:sz="4" w:space="0" w:color="000000"/>
            </w:tcBorders>
            <w:shd w:val="clear" w:color="000000" w:fill="F2DCDB"/>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8"/>
                <w:szCs w:val="28"/>
              </w:rPr>
            </w:pPr>
            <w:r w:rsidRPr="00142DF8">
              <w:rPr>
                <w:rFonts w:ascii="Calibri" w:eastAsia="Times New Roman" w:hAnsi="Calibri" w:cs="Calibri"/>
                <w:b/>
                <w:bCs/>
                <w:color w:val="000000"/>
                <w:sz w:val="28"/>
                <w:szCs w:val="28"/>
              </w:rPr>
              <w:t>Water</w:t>
            </w:r>
          </w:p>
        </w:tc>
      </w:tr>
      <w:tr w:rsidR="00142DF8" w:rsidRPr="00142DF8" w:rsidTr="00EE1838">
        <w:trPr>
          <w:trHeight w:val="288"/>
        </w:trPr>
        <w:tc>
          <w:tcPr>
            <w:tcW w:w="4245" w:type="dxa"/>
            <w:tcBorders>
              <w:top w:val="single" w:sz="4" w:space="0" w:color="auto"/>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City Water System</w:t>
            </w:r>
          </w:p>
        </w:tc>
        <w:tc>
          <w:tcPr>
            <w:tcW w:w="1440" w:type="dxa"/>
            <w:tcBorders>
              <w:top w:val="single" w:sz="4" w:space="0" w:color="auto"/>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2016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Current</w:t>
            </w:r>
          </w:p>
        </w:tc>
        <w:tc>
          <w:tcPr>
            <w:tcW w:w="1440" w:type="dxa"/>
            <w:tcBorders>
              <w:top w:val="single" w:sz="4" w:space="0" w:color="auto"/>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2017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Proposed</w:t>
            </w:r>
          </w:p>
        </w:tc>
        <w:tc>
          <w:tcPr>
            <w:tcW w:w="1350" w:type="dxa"/>
            <w:tcBorders>
              <w:top w:val="single" w:sz="4" w:space="0" w:color="auto"/>
              <w:left w:val="nil"/>
              <w:bottom w:val="single" w:sz="4" w:space="0" w:color="C0504D"/>
              <w:right w:val="single" w:sz="4" w:space="0" w:color="C0504D"/>
            </w:tcBorders>
          </w:tcPr>
          <w:p w:rsidR="00142DF8" w:rsidRPr="00142DF8" w:rsidRDefault="00142DF8" w:rsidP="00142DF8">
            <w:pPr>
              <w:spacing w:after="0" w:line="240" w:lineRule="auto"/>
              <w:jc w:val="center"/>
              <w:rPr>
                <w:rFonts w:ascii="Calibri" w:eastAsia="Times New Roman" w:hAnsi="Calibri" w:cs="Calibri"/>
                <w:b/>
                <w:bCs/>
                <w:color w:val="000000"/>
                <w:sz w:val="22"/>
                <w:szCs w:val="22"/>
              </w:rPr>
            </w:pP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Change</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0 - 3,000 Gallons</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$16.50</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$18.10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$1.60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hideMark/>
          </w:tcPr>
          <w:p w:rsidR="00142DF8" w:rsidRPr="00142DF8" w:rsidRDefault="00142DF8" w:rsidP="00142DF8">
            <w:pPr>
              <w:spacing w:after="0" w:line="240" w:lineRule="auto"/>
              <w:rPr>
                <w:rFonts w:eastAsia="Calibri" w:cs="Arial"/>
              </w:rPr>
            </w:pPr>
            <w:r w:rsidRPr="00142DF8">
              <w:rPr>
                <w:rFonts w:ascii="Calibri" w:eastAsia="Times New Roman" w:hAnsi="Calibri" w:cs="Calibri"/>
                <w:color w:val="000000"/>
                <w:sz w:val="22"/>
                <w:szCs w:val="22"/>
              </w:rPr>
              <w:t>3,000 – 10,000 Gallons (per 1,000)</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$2.35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$2.60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.25</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hideMark/>
          </w:tcPr>
          <w:p w:rsidR="00142DF8" w:rsidRPr="00142DF8" w:rsidRDefault="00142DF8" w:rsidP="00142DF8">
            <w:pPr>
              <w:spacing w:after="0" w:line="240" w:lineRule="auto"/>
              <w:rPr>
                <w:rFonts w:eastAsia="Calibri" w:cs="Arial"/>
              </w:rPr>
            </w:pPr>
            <w:r w:rsidRPr="00142DF8">
              <w:rPr>
                <w:rFonts w:ascii="Calibri" w:eastAsia="Times New Roman" w:hAnsi="Calibri" w:cs="Calibri"/>
                <w:color w:val="000000"/>
                <w:sz w:val="22"/>
                <w:szCs w:val="22"/>
              </w:rPr>
              <w:t>10,000 - 20,000 Gallons (per 1,000)</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$2.80</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$3.10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.30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&gt; 20,000 Gallons (per 1,000)</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$3.25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$3.60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.35</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proofErr w:type="spellStart"/>
            <w:r w:rsidRPr="00142DF8">
              <w:rPr>
                <w:rFonts w:ascii="Calibri" w:eastAsia="Times New Roman" w:hAnsi="Calibri" w:cs="Calibri"/>
                <w:b/>
                <w:bCs/>
                <w:color w:val="000000"/>
                <w:sz w:val="22"/>
                <w:szCs w:val="22"/>
              </w:rPr>
              <w:t>Kannah</w:t>
            </w:r>
            <w:proofErr w:type="spellEnd"/>
            <w:r w:rsidRPr="00142DF8">
              <w:rPr>
                <w:rFonts w:ascii="Calibri" w:eastAsia="Times New Roman" w:hAnsi="Calibri" w:cs="Calibri"/>
                <w:b/>
                <w:bCs/>
                <w:color w:val="000000"/>
                <w:sz w:val="22"/>
                <w:szCs w:val="22"/>
              </w:rPr>
              <w:t xml:space="preserve"> Creek Water System</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rPr>
                <w:rFonts w:ascii="Calibri" w:eastAsia="Times New Roman" w:hAnsi="Calibri" w:cs="Calibri"/>
                <w:color w:val="000000"/>
                <w:sz w:val="22"/>
                <w:szCs w:val="22"/>
              </w:rPr>
            </w:pP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0 - 3,000 Gallons</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$41.00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$44.90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$3.90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hideMark/>
          </w:tcPr>
          <w:p w:rsidR="00142DF8" w:rsidRPr="00142DF8" w:rsidRDefault="00142DF8" w:rsidP="00142DF8">
            <w:pPr>
              <w:spacing w:after="0" w:line="240" w:lineRule="auto"/>
              <w:rPr>
                <w:rFonts w:eastAsia="Calibri" w:cs="Arial"/>
              </w:rPr>
            </w:pPr>
            <w:r w:rsidRPr="00142DF8">
              <w:rPr>
                <w:rFonts w:ascii="Calibri" w:eastAsia="Times New Roman" w:hAnsi="Calibri" w:cs="Calibri"/>
                <w:color w:val="000000"/>
                <w:sz w:val="22"/>
                <w:szCs w:val="22"/>
              </w:rPr>
              <w:t>3,000 – 10,000 Gallons (per 1,000)</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$4.50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$4.90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.40</w:t>
            </w:r>
          </w:p>
        </w:tc>
      </w:tr>
      <w:tr w:rsidR="00142DF8" w:rsidRPr="00142DF8" w:rsidTr="00EE1838">
        <w:trPr>
          <w:trHeight w:val="288"/>
        </w:trPr>
        <w:tc>
          <w:tcPr>
            <w:tcW w:w="4245" w:type="dxa"/>
            <w:tcBorders>
              <w:top w:val="nil"/>
              <w:left w:val="single" w:sz="4" w:space="0" w:color="auto"/>
              <w:bottom w:val="single" w:sz="4" w:space="0" w:color="auto"/>
              <w:right w:val="single" w:sz="4" w:space="0" w:color="C0504D"/>
            </w:tcBorders>
            <w:shd w:val="clear" w:color="auto" w:fill="auto"/>
            <w:noWrap/>
            <w:hideMark/>
          </w:tcPr>
          <w:p w:rsidR="00142DF8" w:rsidRPr="00142DF8" w:rsidRDefault="00142DF8" w:rsidP="00142DF8">
            <w:pPr>
              <w:spacing w:after="0" w:line="240" w:lineRule="auto"/>
              <w:rPr>
                <w:rFonts w:eastAsia="Calibri" w:cs="Arial"/>
              </w:rPr>
            </w:pPr>
            <w:r w:rsidRPr="00142DF8">
              <w:rPr>
                <w:rFonts w:ascii="Calibri" w:eastAsia="Times New Roman" w:hAnsi="Calibri" w:cs="Calibri"/>
                <w:color w:val="000000"/>
                <w:sz w:val="22"/>
                <w:szCs w:val="22"/>
              </w:rPr>
              <w:t>10,000 - 20,000 Gallons (per 1,000)</w:t>
            </w:r>
          </w:p>
        </w:tc>
        <w:tc>
          <w:tcPr>
            <w:tcW w:w="1440" w:type="dxa"/>
            <w:tcBorders>
              <w:top w:val="nil"/>
              <w:left w:val="nil"/>
              <w:bottom w:val="single" w:sz="4" w:space="0" w:color="auto"/>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$5.35 </w:t>
            </w:r>
          </w:p>
        </w:tc>
        <w:tc>
          <w:tcPr>
            <w:tcW w:w="1440" w:type="dxa"/>
            <w:tcBorders>
              <w:top w:val="nil"/>
              <w:left w:val="nil"/>
              <w:bottom w:val="single" w:sz="4" w:space="0" w:color="auto"/>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$5.85 </w:t>
            </w:r>
          </w:p>
        </w:tc>
        <w:tc>
          <w:tcPr>
            <w:tcW w:w="1350" w:type="dxa"/>
            <w:tcBorders>
              <w:top w:val="nil"/>
              <w:left w:val="nil"/>
              <w:bottom w:val="single" w:sz="4" w:space="0" w:color="auto"/>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.50</w:t>
            </w:r>
          </w:p>
        </w:tc>
      </w:tr>
      <w:tr w:rsidR="00142DF8" w:rsidRPr="00142DF8" w:rsidTr="00EE1838">
        <w:trPr>
          <w:trHeight w:val="288"/>
        </w:trPr>
        <w:tc>
          <w:tcPr>
            <w:tcW w:w="4245" w:type="dxa"/>
            <w:tcBorders>
              <w:top w:val="nil"/>
              <w:left w:val="single" w:sz="4" w:space="0" w:color="auto"/>
              <w:bottom w:val="single" w:sz="4" w:space="0" w:color="auto"/>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&gt; 20,000 Gallons (per 1,000)</w:t>
            </w:r>
          </w:p>
        </w:tc>
        <w:tc>
          <w:tcPr>
            <w:tcW w:w="1440" w:type="dxa"/>
            <w:tcBorders>
              <w:top w:val="nil"/>
              <w:left w:val="nil"/>
              <w:bottom w:val="single" w:sz="4" w:space="0" w:color="auto"/>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$6.25</w:t>
            </w:r>
          </w:p>
        </w:tc>
        <w:tc>
          <w:tcPr>
            <w:tcW w:w="1440" w:type="dxa"/>
            <w:tcBorders>
              <w:top w:val="nil"/>
              <w:left w:val="nil"/>
              <w:bottom w:val="single" w:sz="4" w:space="0" w:color="auto"/>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$6.85</w:t>
            </w:r>
          </w:p>
        </w:tc>
        <w:tc>
          <w:tcPr>
            <w:tcW w:w="1350" w:type="dxa"/>
            <w:tcBorders>
              <w:top w:val="nil"/>
              <w:left w:val="nil"/>
              <w:bottom w:val="single" w:sz="4" w:space="0" w:color="auto"/>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.60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Ridges Irrigation System</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rPr>
                <w:rFonts w:ascii="Calibri" w:eastAsia="Times New Roman" w:hAnsi="Calibri" w:cs="Calibri"/>
                <w:color w:val="000000"/>
                <w:sz w:val="22"/>
                <w:szCs w:val="22"/>
              </w:rPr>
            </w:pP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Single Family</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$15.33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$16.00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.67</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hideMark/>
          </w:tcPr>
          <w:p w:rsidR="00142DF8" w:rsidRPr="00142DF8" w:rsidRDefault="00142DF8" w:rsidP="00142DF8">
            <w:pPr>
              <w:spacing w:after="0" w:line="240" w:lineRule="auto"/>
              <w:rPr>
                <w:rFonts w:eastAsia="Calibri" w:cs="Arial"/>
              </w:rPr>
            </w:pPr>
            <w:r w:rsidRPr="00142DF8">
              <w:rPr>
                <w:rFonts w:ascii="Calibri" w:eastAsia="Times New Roman" w:hAnsi="Calibri" w:cs="Calibri"/>
                <w:color w:val="000000"/>
                <w:sz w:val="22"/>
                <w:szCs w:val="22"/>
              </w:rPr>
              <w:t>Multiple Family (Per Unit)</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$10.97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$11.45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.48</w:t>
            </w:r>
          </w:p>
        </w:tc>
      </w:tr>
    </w:tbl>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tbl>
      <w:tblPr>
        <w:tblW w:w="8475" w:type="dxa"/>
        <w:tblInd w:w="93" w:type="dxa"/>
        <w:tblLook w:val="04A0" w:firstRow="1" w:lastRow="0" w:firstColumn="1" w:lastColumn="0" w:noHBand="0" w:noVBand="1"/>
      </w:tblPr>
      <w:tblGrid>
        <w:gridCol w:w="4245"/>
        <w:gridCol w:w="1440"/>
        <w:gridCol w:w="1440"/>
        <w:gridCol w:w="1350"/>
      </w:tblGrid>
      <w:tr w:rsidR="00142DF8" w:rsidRPr="00142DF8" w:rsidTr="00EE1838">
        <w:trPr>
          <w:trHeight w:val="360"/>
        </w:trPr>
        <w:tc>
          <w:tcPr>
            <w:tcW w:w="8475" w:type="dxa"/>
            <w:gridSpan w:val="4"/>
            <w:tcBorders>
              <w:top w:val="single" w:sz="4" w:space="0" w:color="auto"/>
              <w:left w:val="single" w:sz="4" w:space="0" w:color="auto"/>
              <w:bottom w:val="nil"/>
              <w:right w:val="single" w:sz="4" w:space="0" w:color="000000"/>
            </w:tcBorders>
            <w:shd w:val="clear" w:color="000000" w:fill="F2DCDB"/>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8"/>
                <w:szCs w:val="28"/>
              </w:rPr>
            </w:pPr>
            <w:r w:rsidRPr="00142DF8">
              <w:rPr>
                <w:rFonts w:ascii="Calibri" w:eastAsia="Times New Roman" w:hAnsi="Calibri" w:cs="Calibri"/>
                <w:b/>
                <w:bCs/>
                <w:color w:val="000000"/>
                <w:sz w:val="28"/>
                <w:szCs w:val="28"/>
              </w:rPr>
              <w:t>Wastewater</w:t>
            </w:r>
          </w:p>
        </w:tc>
      </w:tr>
      <w:tr w:rsidR="00142DF8" w:rsidRPr="00142DF8" w:rsidTr="00EE1838">
        <w:trPr>
          <w:trHeight w:val="288"/>
        </w:trPr>
        <w:tc>
          <w:tcPr>
            <w:tcW w:w="4245" w:type="dxa"/>
            <w:tcBorders>
              <w:top w:val="single" w:sz="4" w:space="0" w:color="auto"/>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Description</w:t>
            </w:r>
          </w:p>
        </w:tc>
        <w:tc>
          <w:tcPr>
            <w:tcW w:w="1440" w:type="dxa"/>
            <w:tcBorders>
              <w:top w:val="single" w:sz="4" w:space="0" w:color="auto"/>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2016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Current</w:t>
            </w:r>
          </w:p>
        </w:tc>
        <w:tc>
          <w:tcPr>
            <w:tcW w:w="1440" w:type="dxa"/>
            <w:tcBorders>
              <w:top w:val="single" w:sz="4" w:space="0" w:color="auto"/>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2017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Proposed</w:t>
            </w:r>
          </w:p>
        </w:tc>
        <w:tc>
          <w:tcPr>
            <w:tcW w:w="1350" w:type="dxa"/>
            <w:tcBorders>
              <w:top w:val="single" w:sz="4" w:space="0" w:color="auto"/>
              <w:left w:val="nil"/>
              <w:bottom w:val="single" w:sz="4" w:space="0" w:color="C0504D"/>
              <w:right w:val="single" w:sz="4" w:space="0" w:color="C0504D"/>
            </w:tcBorders>
          </w:tcPr>
          <w:p w:rsidR="00142DF8" w:rsidRPr="00142DF8" w:rsidRDefault="00142DF8" w:rsidP="00142DF8">
            <w:pPr>
              <w:spacing w:after="0" w:line="240" w:lineRule="auto"/>
              <w:jc w:val="center"/>
              <w:rPr>
                <w:rFonts w:ascii="Calibri" w:eastAsia="Times New Roman" w:hAnsi="Calibri" w:cs="Calibri"/>
                <w:b/>
                <w:bCs/>
                <w:color w:val="000000"/>
                <w:sz w:val="22"/>
                <w:szCs w:val="22"/>
              </w:rPr>
            </w:pP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Change</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Per Residential Equivalent Unit (EQU)</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$21.60</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$22.40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.80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hideMark/>
          </w:tcPr>
          <w:p w:rsidR="00142DF8" w:rsidRPr="00142DF8" w:rsidRDefault="00142DF8" w:rsidP="00142DF8">
            <w:pPr>
              <w:spacing w:after="0" w:line="240" w:lineRule="auto"/>
              <w:rPr>
                <w:rFonts w:eastAsia="Calibri" w:cs="Arial"/>
              </w:rPr>
            </w:pPr>
            <w:r w:rsidRPr="00142DF8">
              <w:rPr>
                <w:rFonts w:ascii="Calibri" w:eastAsia="Times New Roman" w:hAnsi="Calibri" w:cs="Calibri"/>
                <w:color w:val="000000"/>
                <w:sz w:val="22"/>
                <w:szCs w:val="22"/>
              </w:rPr>
              <w:t>Plant Investment Fee</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$4,371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$4,502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$131</w:t>
            </w:r>
          </w:p>
        </w:tc>
      </w:tr>
    </w:tbl>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tbl>
      <w:tblPr>
        <w:tblW w:w="8475" w:type="dxa"/>
        <w:tblInd w:w="93" w:type="dxa"/>
        <w:tblLook w:val="04A0" w:firstRow="1" w:lastRow="0" w:firstColumn="1" w:lastColumn="0" w:noHBand="0" w:noVBand="1"/>
      </w:tblPr>
      <w:tblGrid>
        <w:gridCol w:w="4245"/>
        <w:gridCol w:w="1440"/>
        <w:gridCol w:w="1440"/>
        <w:gridCol w:w="1350"/>
      </w:tblGrid>
      <w:tr w:rsidR="00142DF8" w:rsidRPr="00142DF8" w:rsidTr="00EE1838">
        <w:trPr>
          <w:trHeight w:val="360"/>
        </w:trPr>
        <w:tc>
          <w:tcPr>
            <w:tcW w:w="8475" w:type="dxa"/>
            <w:gridSpan w:val="4"/>
            <w:tcBorders>
              <w:top w:val="single" w:sz="4" w:space="0" w:color="auto"/>
              <w:left w:val="single" w:sz="4" w:space="0" w:color="auto"/>
              <w:bottom w:val="nil"/>
              <w:right w:val="single" w:sz="4" w:space="0" w:color="000000"/>
            </w:tcBorders>
            <w:shd w:val="clear" w:color="000000" w:fill="F2DCDB"/>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8"/>
                <w:szCs w:val="28"/>
              </w:rPr>
            </w:pPr>
            <w:r w:rsidRPr="00142DF8">
              <w:rPr>
                <w:rFonts w:ascii="Calibri" w:eastAsia="Times New Roman" w:hAnsi="Calibri" w:cs="Calibri"/>
                <w:b/>
                <w:bCs/>
                <w:color w:val="000000"/>
                <w:sz w:val="28"/>
                <w:szCs w:val="28"/>
              </w:rPr>
              <w:t>Solid Waste</w:t>
            </w:r>
          </w:p>
        </w:tc>
      </w:tr>
      <w:tr w:rsidR="00142DF8" w:rsidRPr="00142DF8" w:rsidTr="00EE1838">
        <w:trPr>
          <w:trHeight w:val="288"/>
        </w:trPr>
        <w:tc>
          <w:tcPr>
            <w:tcW w:w="4245" w:type="dxa"/>
            <w:tcBorders>
              <w:top w:val="single" w:sz="4" w:space="0" w:color="auto"/>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Automated Monthly Container Prices</w:t>
            </w:r>
          </w:p>
        </w:tc>
        <w:tc>
          <w:tcPr>
            <w:tcW w:w="1440" w:type="dxa"/>
            <w:tcBorders>
              <w:top w:val="single" w:sz="4" w:space="0" w:color="auto"/>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2016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Current</w:t>
            </w:r>
          </w:p>
        </w:tc>
        <w:tc>
          <w:tcPr>
            <w:tcW w:w="1440" w:type="dxa"/>
            <w:tcBorders>
              <w:top w:val="single" w:sz="4" w:space="0" w:color="auto"/>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2017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Proposed</w:t>
            </w:r>
          </w:p>
        </w:tc>
        <w:tc>
          <w:tcPr>
            <w:tcW w:w="1350" w:type="dxa"/>
            <w:tcBorders>
              <w:top w:val="single" w:sz="4" w:space="0" w:color="auto"/>
              <w:left w:val="nil"/>
              <w:bottom w:val="single" w:sz="4" w:space="0" w:color="C0504D"/>
              <w:right w:val="single" w:sz="4" w:space="0" w:color="C0504D"/>
            </w:tcBorders>
          </w:tcPr>
          <w:p w:rsidR="00142DF8" w:rsidRPr="00142DF8" w:rsidRDefault="00142DF8" w:rsidP="00142DF8">
            <w:pPr>
              <w:spacing w:after="0" w:line="240" w:lineRule="auto"/>
              <w:jc w:val="center"/>
              <w:rPr>
                <w:rFonts w:ascii="Calibri" w:eastAsia="Times New Roman" w:hAnsi="Calibri" w:cs="Calibri"/>
                <w:b/>
                <w:bCs/>
                <w:color w:val="000000"/>
                <w:sz w:val="22"/>
                <w:szCs w:val="22"/>
              </w:rPr>
            </w:pP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Change</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1-64 Gallon Container</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$11.25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$11.65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.40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1-96 Gallon Container</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$14.25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$14.75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.50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2-64 Gallon Container</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$17.21</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$17.81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.60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1-64, 1-96 Gallon Container</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$20.21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$20.92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.71</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2-96 Gallon Container</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$23.23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$24.05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.82</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Commercial Monthly Dumpster Prices</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rPr>
                <w:rFonts w:ascii="Calibri" w:eastAsia="Times New Roman" w:hAnsi="Calibri" w:cs="Calibri"/>
                <w:color w:val="000000"/>
                <w:sz w:val="22"/>
                <w:szCs w:val="22"/>
              </w:rPr>
            </w:pP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1-2 Cubic Yard - Pick-Up 1 Time Per Week</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$59.95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$62.06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$2.11</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1-4 Cubic Yard - Pick-Up 1 Time Per Week</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$97.13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$100.53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$3.40</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1-6 Cubic Yard - Pick-Up 1 Time Per Week</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$131.41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$136.00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$4.59</w:t>
            </w:r>
          </w:p>
        </w:tc>
      </w:tr>
      <w:tr w:rsidR="00142DF8" w:rsidRPr="00142DF8" w:rsidTr="00EE1838">
        <w:trPr>
          <w:trHeight w:val="288"/>
        </w:trPr>
        <w:tc>
          <w:tcPr>
            <w:tcW w:w="4245" w:type="dxa"/>
            <w:tcBorders>
              <w:top w:val="nil"/>
              <w:left w:val="single" w:sz="4" w:space="0" w:color="auto"/>
              <w:bottom w:val="single" w:sz="4" w:space="0" w:color="auto"/>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1-8 Cubic Yard - Pick-Up 1 Time Per Week</w:t>
            </w:r>
          </w:p>
        </w:tc>
        <w:tc>
          <w:tcPr>
            <w:tcW w:w="1440" w:type="dxa"/>
            <w:tcBorders>
              <w:top w:val="nil"/>
              <w:left w:val="nil"/>
              <w:bottom w:val="single" w:sz="4" w:space="0" w:color="auto"/>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$165.26 </w:t>
            </w:r>
          </w:p>
        </w:tc>
        <w:tc>
          <w:tcPr>
            <w:tcW w:w="1440" w:type="dxa"/>
            <w:tcBorders>
              <w:top w:val="nil"/>
              <w:left w:val="nil"/>
              <w:bottom w:val="single" w:sz="4" w:space="0" w:color="auto"/>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$171.04 </w:t>
            </w:r>
          </w:p>
        </w:tc>
        <w:tc>
          <w:tcPr>
            <w:tcW w:w="1350" w:type="dxa"/>
            <w:tcBorders>
              <w:top w:val="nil"/>
              <w:left w:val="nil"/>
              <w:bottom w:val="single" w:sz="4" w:space="0" w:color="auto"/>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$5.78</w:t>
            </w:r>
          </w:p>
        </w:tc>
      </w:tr>
    </w:tbl>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tbl>
      <w:tblPr>
        <w:tblW w:w="8475" w:type="dxa"/>
        <w:tblInd w:w="93" w:type="dxa"/>
        <w:tblLook w:val="04A0" w:firstRow="1" w:lastRow="0" w:firstColumn="1" w:lastColumn="0" w:noHBand="0" w:noVBand="1"/>
      </w:tblPr>
      <w:tblGrid>
        <w:gridCol w:w="4245"/>
        <w:gridCol w:w="1440"/>
        <w:gridCol w:w="1440"/>
        <w:gridCol w:w="1350"/>
      </w:tblGrid>
      <w:tr w:rsidR="00142DF8" w:rsidRPr="00142DF8" w:rsidTr="00EE1838">
        <w:trPr>
          <w:trHeight w:val="360"/>
        </w:trPr>
        <w:tc>
          <w:tcPr>
            <w:tcW w:w="8475" w:type="dxa"/>
            <w:gridSpan w:val="4"/>
            <w:tcBorders>
              <w:top w:val="single" w:sz="4" w:space="0" w:color="auto"/>
              <w:left w:val="single" w:sz="4" w:space="0" w:color="auto"/>
              <w:bottom w:val="nil"/>
              <w:right w:val="single" w:sz="4" w:space="0" w:color="000000"/>
            </w:tcBorders>
            <w:shd w:val="clear" w:color="000000" w:fill="F2DCDB"/>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8"/>
                <w:szCs w:val="28"/>
              </w:rPr>
            </w:pPr>
            <w:r w:rsidRPr="00142DF8">
              <w:rPr>
                <w:rFonts w:ascii="Calibri" w:eastAsia="Times New Roman" w:hAnsi="Calibri" w:cs="Calibri"/>
                <w:b/>
                <w:bCs/>
                <w:color w:val="000000"/>
                <w:sz w:val="28"/>
                <w:szCs w:val="28"/>
              </w:rPr>
              <w:t>Two Rivers Convention Center and Avalon Theatre</w:t>
            </w:r>
          </w:p>
        </w:tc>
      </w:tr>
      <w:tr w:rsidR="00142DF8" w:rsidRPr="00142DF8" w:rsidTr="00EE1838">
        <w:trPr>
          <w:trHeight w:val="288"/>
        </w:trPr>
        <w:tc>
          <w:tcPr>
            <w:tcW w:w="4245" w:type="dxa"/>
            <w:tcBorders>
              <w:top w:val="single" w:sz="4" w:space="0" w:color="auto"/>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Description</w:t>
            </w:r>
          </w:p>
        </w:tc>
        <w:tc>
          <w:tcPr>
            <w:tcW w:w="1440" w:type="dxa"/>
            <w:tcBorders>
              <w:top w:val="single" w:sz="4" w:space="0" w:color="auto"/>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2016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Current</w:t>
            </w:r>
          </w:p>
        </w:tc>
        <w:tc>
          <w:tcPr>
            <w:tcW w:w="1440" w:type="dxa"/>
            <w:tcBorders>
              <w:top w:val="single" w:sz="4" w:space="0" w:color="auto"/>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2017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Proposed</w:t>
            </w:r>
          </w:p>
        </w:tc>
        <w:tc>
          <w:tcPr>
            <w:tcW w:w="1350" w:type="dxa"/>
            <w:tcBorders>
              <w:top w:val="single" w:sz="4" w:space="0" w:color="auto"/>
              <w:left w:val="nil"/>
              <w:bottom w:val="single" w:sz="4" w:space="0" w:color="C0504D"/>
              <w:right w:val="single" w:sz="4" w:space="0" w:color="C0504D"/>
            </w:tcBorders>
          </w:tcPr>
          <w:p w:rsidR="00142DF8" w:rsidRPr="00142DF8" w:rsidRDefault="00142DF8" w:rsidP="00142DF8">
            <w:pPr>
              <w:spacing w:after="0" w:line="240" w:lineRule="auto"/>
              <w:jc w:val="center"/>
              <w:rPr>
                <w:rFonts w:ascii="Calibri" w:eastAsia="Times New Roman" w:hAnsi="Calibri" w:cs="Calibri"/>
                <w:b/>
                <w:bCs/>
                <w:color w:val="000000"/>
                <w:sz w:val="22"/>
                <w:szCs w:val="22"/>
              </w:rPr>
            </w:pP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Change</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Meeting Rooms</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$85-$4,415</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$90-$4,640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$5-$225</w:t>
            </w:r>
          </w:p>
        </w:tc>
      </w:tr>
      <w:tr w:rsidR="00142DF8" w:rsidRPr="00142DF8" w:rsidTr="00EE1838">
        <w:trPr>
          <w:trHeight w:val="288"/>
        </w:trPr>
        <w:tc>
          <w:tcPr>
            <w:tcW w:w="4245" w:type="dxa"/>
            <w:tcBorders>
              <w:top w:val="nil"/>
              <w:left w:val="single" w:sz="4" w:space="0" w:color="auto"/>
              <w:bottom w:val="single" w:sz="4" w:space="0" w:color="C0504D"/>
              <w:right w:val="single" w:sz="4" w:space="0" w:color="C0504D"/>
            </w:tcBorders>
            <w:shd w:val="clear" w:color="auto" w:fill="auto"/>
            <w:noWrap/>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Service Club Meals (per person)</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$13-$17.50</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$13.50-$18</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.50</w:t>
            </w:r>
          </w:p>
        </w:tc>
      </w:tr>
    </w:tbl>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rPr>
      </w:pPr>
    </w:p>
    <w:tbl>
      <w:tblPr>
        <w:tblW w:w="8475" w:type="dxa"/>
        <w:tblInd w:w="93" w:type="dxa"/>
        <w:tblLook w:val="04A0" w:firstRow="1" w:lastRow="0" w:firstColumn="1" w:lastColumn="0" w:noHBand="0" w:noVBand="1"/>
      </w:tblPr>
      <w:tblGrid>
        <w:gridCol w:w="4425"/>
        <w:gridCol w:w="1440"/>
        <w:gridCol w:w="1260"/>
        <w:gridCol w:w="1350"/>
      </w:tblGrid>
      <w:tr w:rsidR="00142DF8" w:rsidRPr="00142DF8" w:rsidTr="00EE1838">
        <w:trPr>
          <w:trHeight w:val="360"/>
        </w:trPr>
        <w:tc>
          <w:tcPr>
            <w:tcW w:w="8475" w:type="dxa"/>
            <w:gridSpan w:val="4"/>
            <w:tcBorders>
              <w:top w:val="single" w:sz="4" w:space="0" w:color="auto"/>
              <w:left w:val="single" w:sz="4" w:space="0" w:color="auto"/>
              <w:bottom w:val="nil"/>
              <w:right w:val="single" w:sz="4" w:space="0" w:color="000000"/>
            </w:tcBorders>
            <w:shd w:val="clear" w:color="000000" w:fill="F2DCDB"/>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8"/>
                <w:szCs w:val="28"/>
              </w:rPr>
            </w:pPr>
            <w:r w:rsidRPr="00142DF8">
              <w:rPr>
                <w:rFonts w:ascii="Calibri" w:eastAsia="Times New Roman" w:hAnsi="Calibri" w:cs="Calibri"/>
                <w:b/>
                <w:bCs/>
                <w:color w:val="000000"/>
                <w:sz w:val="28"/>
                <w:szCs w:val="28"/>
              </w:rPr>
              <w:t>Golf</w:t>
            </w:r>
          </w:p>
        </w:tc>
      </w:tr>
      <w:tr w:rsidR="00142DF8" w:rsidRPr="00142DF8" w:rsidTr="00EE1838">
        <w:trPr>
          <w:trHeight w:val="288"/>
        </w:trPr>
        <w:tc>
          <w:tcPr>
            <w:tcW w:w="4425" w:type="dxa"/>
            <w:tcBorders>
              <w:top w:val="single" w:sz="4" w:space="0" w:color="auto"/>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Description</w:t>
            </w:r>
          </w:p>
        </w:tc>
        <w:tc>
          <w:tcPr>
            <w:tcW w:w="1440" w:type="dxa"/>
            <w:tcBorders>
              <w:top w:val="single" w:sz="4" w:space="0" w:color="auto"/>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2016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Current</w:t>
            </w:r>
          </w:p>
        </w:tc>
        <w:tc>
          <w:tcPr>
            <w:tcW w:w="1260" w:type="dxa"/>
            <w:tcBorders>
              <w:top w:val="single" w:sz="4" w:space="0" w:color="auto"/>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 xml:space="preserve">2017 </w:t>
            </w: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Proposed</w:t>
            </w:r>
          </w:p>
        </w:tc>
        <w:tc>
          <w:tcPr>
            <w:tcW w:w="1350" w:type="dxa"/>
            <w:tcBorders>
              <w:top w:val="single" w:sz="4" w:space="0" w:color="auto"/>
              <w:left w:val="nil"/>
              <w:bottom w:val="single" w:sz="4" w:space="0" w:color="C0504D"/>
              <w:right w:val="single" w:sz="4" w:space="0" w:color="C0504D"/>
            </w:tcBorders>
          </w:tcPr>
          <w:p w:rsidR="00142DF8" w:rsidRPr="00142DF8" w:rsidRDefault="00142DF8" w:rsidP="00142DF8">
            <w:pPr>
              <w:spacing w:after="0" w:line="240" w:lineRule="auto"/>
              <w:jc w:val="center"/>
              <w:rPr>
                <w:rFonts w:ascii="Calibri" w:eastAsia="Times New Roman" w:hAnsi="Calibri" w:cs="Calibri"/>
                <w:b/>
                <w:bCs/>
                <w:color w:val="000000"/>
                <w:sz w:val="22"/>
                <w:szCs w:val="22"/>
              </w:rPr>
            </w:pPr>
          </w:p>
          <w:p w:rsidR="00142DF8" w:rsidRPr="00142DF8" w:rsidRDefault="00142DF8" w:rsidP="00142DF8">
            <w:pPr>
              <w:spacing w:after="0" w:line="240" w:lineRule="auto"/>
              <w:jc w:val="center"/>
              <w:rPr>
                <w:rFonts w:ascii="Calibri" w:eastAsia="Times New Roman" w:hAnsi="Calibri" w:cs="Calibri"/>
                <w:b/>
                <w:bCs/>
                <w:color w:val="000000"/>
                <w:sz w:val="22"/>
                <w:szCs w:val="22"/>
              </w:rPr>
            </w:pPr>
            <w:r w:rsidRPr="00142DF8">
              <w:rPr>
                <w:rFonts w:ascii="Calibri" w:eastAsia="Times New Roman" w:hAnsi="Calibri" w:cs="Calibri"/>
                <w:b/>
                <w:bCs/>
                <w:color w:val="000000"/>
                <w:sz w:val="22"/>
                <w:szCs w:val="22"/>
              </w:rPr>
              <w:t>Change</w:t>
            </w:r>
          </w:p>
        </w:tc>
      </w:tr>
      <w:tr w:rsidR="00142DF8" w:rsidRPr="00142DF8" w:rsidTr="00EE1838">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Green Fees, Tiara </w:t>
            </w:r>
            <w:proofErr w:type="spellStart"/>
            <w:r w:rsidRPr="00142DF8">
              <w:rPr>
                <w:rFonts w:ascii="Calibri" w:eastAsia="Times New Roman" w:hAnsi="Calibri" w:cs="Calibri"/>
                <w:color w:val="000000"/>
                <w:sz w:val="22"/>
                <w:szCs w:val="22"/>
              </w:rPr>
              <w:t>Rado</w:t>
            </w:r>
            <w:proofErr w:type="spellEnd"/>
            <w:r w:rsidRPr="00142DF8">
              <w:rPr>
                <w:rFonts w:ascii="Calibri" w:eastAsia="Times New Roman" w:hAnsi="Calibri" w:cs="Calibri"/>
                <w:color w:val="000000"/>
                <w:sz w:val="22"/>
                <w:szCs w:val="22"/>
              </w:rPr>
              <w:t xml:space="preserve">, Mon-Thurs, 9-hole </w:t>
            </w:r>
          </w:p>
        </w:tc>
        <w:tc>
          <w:tcPr>
            <w:tcW w:w="1440" w:type="dxa"/>
            <w:tcBorders>
              <w:top w:val="nil"/>
              <w:left w:val="nil"/>
              <w:bottom w:val="single" w:sz="4" w:space="0" w:color="C0504D"/>
              <w:right w:val="single" w:sz="4" w:space="0" w:color="C0504D"/>
            </w:tcBorders>
            <w:shd w:val="clear" w:color="auto" w:fill="auto"/>
            <w:noWrap/>
            <w:vAlign w:val="bottom"/>
            <w:hideMark/>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$19</w:t>
            </w:r>
          </w:p>
        </w:tc>
        <w:tc>
          <w:tcPr>
            <w:tcW w:w="126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$20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w:t>
            </w:r>
          </w:p>
        </w:tc>
      </w:tr>
      <w:tr w:rsidR="00142DF8" w:rsidRPr="00142DF8" w:rsidTr="00EE1838">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Green Fees, Tiara </w:t>
            </w:r>
            <w:proofErr w:type="spellStart"/>
            <w:r w:rsidRPr="00142DF8">
              <w:rPr>
                <w:rFonts w:ascii="Calibri" w:eastAsia="Times New Roman" w:hAnsi="Calibri" w:cs="Calibri"/>
                <w:color w:val="000000"/>
                <w:sz w:val="22"/>
                <w:szCs w:val="22"/>
              </w:rPr>
              <w:t>Rado</w:t>
            </w:r>
            <w:proofErr w:type="spellEnd"/>
            <w:r w:rsidRPr="00142DF8">
              <w:rPr>
                <w:rFonts w:ascii="Calibri" w:eastAsia="Times New Roman" w:hAnsi="Calibri" w:cs="Calibri"/>
                <w:color w:val="000000"/>
                <w:sz w:val="22"/>
                <w:szCs w:val="22"/>
              </w:rPr>
              <w:t xml:space="preserve">, Mon-Thurs, 18-hole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$35</w:t>
            </w:r>
          </w:p>
        </w:tc>
        <w:tc>
          <w:tcPr>
            <w:tcW w:w="126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$36</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w:t>
            </w:r>
          </w:p>
        </w:tc>
      </w:tr>
      <w:tr w:rsidR="00142DF8" w:rsidRPr="00142DF8" w:rsidTr="00EE1838">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Green Fees, Tiara </w:t>
            </w:r>
            <w:proofErr w:type="spellStart"/>
            <w:r w:rsidRPr="00142DF8">
              <w:rPr>
                <w:rFonts w:ascii="Calibri" w:eastAsia="Times New Roman" w:hAnsi="Calibri" w:cs="Calibri"/>
                <w:color w:val="000000"/>
                <w:sz w:val="22"/>
                <w:szCs w:val="22"/>
              </w:rPr>
              <w:t>Rado</w:t>
            </w:r>
            <w:proofErr w:type="spellEnd"/>
            <w:r w:rsidRPr="00142DF8">
              <w:rPr>
                <w:rFonts w:ascii="Calibri" w:eastAsia="Times New Roman" w:hAnsi="Calibri" w:cs="Calibri"/>
                <w:color w:val="000000"/>
                <w:sz w:val="22"/>
                <w:szCs w:val="22"/>
              </w:rPr>
              <w:t xml:space="preserve">, Fri-Sun, 9-hole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$21</w:t>
            </w:r>
          </w:p>
        </w:tc>
        <w:tc>
          <w:tcPr>
            <w:tcW w:w="126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$22</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w:t>
            </w:r>
          </w:p>
        </w:tc>
      </w:tr>
      <w:tr w:rsidR="00142DF8" w:rsidRPr="00142DF8" w:rsidTr="00EE1838">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Green Fees, Tiara </w:t>
            </w:r>
            <w:proofErr w:type="spellStart"/>
            <w:r w:rsidRPr="00142DF8">
              <w:rPr>
                <w:rFonts w:ascii="Calibri" w:eastAsia="Times New Roman" w:hAnsi="Calibri" w:cs="Calibri"/>
                <w:color w:val="000000"/>
                <w:sz w:val="22"/>
                <w:szCs w:val="22"/>
              </w:rPr>
              <w:t>Rado</w:t>
            </w:r>
            <w:proofErr w:type="spellEnd"/>
            <w:r w:rsidRPr="00142DF8">
              <w:rPr>
                <w:rFonts w:ascii="Calibri" w:eastAsia="Times New Roman" w:hAnsi="Calibri" w:cs="Calibri"/>
                <w:color w:val="000000"/>
                <w:sz w:val="22"/>
                <w:szCs w:val="22"/>
              </w:rPr>
              <w:t xml:space="preserve">, Fri-Sun, 18-hole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$38</w:t>
            </w:r>
          </w:p>
        </w:tc>
        <w:tc>
          <w:tcPr>
            <w:tcW w:w="126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$39</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w:t>
            </w:r>
          </w:p>
        </w:tc>
      </w:tr>
      <w:tr w:rsidR="00142DF8" w:rsidRPr="00142DF8" w:rsidTr="00EE1838">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Green Fees, Lincoln Park, Mon-Sun, 9-hole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$16</w:t>
            </w:r>
          </w:p>
        </w:tc>
        <w:tc>
          <w:tcPr>
            <w:tcW w:w="126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$17 </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w:t>
            </w:r>
          </w:p>
        </w:tc>
      </w:tr>
      <w:tr w:rsidR="00142DF8" w:rsidRPr="00142DF8" w:rsidTr="00EE1838">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 xml:space="preserve">Green Fees, Lincoln Park, Mon-Sun, 18-hole </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$26</w:t>
            </w:r>
          </w:p>
        </w:tc>
        <w:tc>
          <w:tcPr>
            <w:tcW w:w="126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$27</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$1</w:t>
            </w:r>
          </w:p>
        </w:tc>
      </w:tr>
      <w:tr w:rsidR="00142DF8" w:rsidRPr="00142DF8" w:rsidTr="00EE1838">
        <w:trPr>
          <w:trHeight w:val="288"/>
        </w:trPr>
        <w:tc>
          <w:tcPr>
            <w:tcW w:w="4425" w:type="dxa"/>
            <w:tcBorders>
              <w:top w:val="nil"/>
              <w:left w:val="single" w:sz="4" w:space="0" w:color="auto"/>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rPr>
                <w:rFonts w:ascii="Calibri" w:eastAsia="Times New Roman" w:hAnsi="Calibri" w:cs="Calibri"/>
                <w:color w:val="000000"/>
                <w:sz w:val="22"/>
                <w:szCs w:val="22"/>
              </w:rPr>
            </w:pPr>
            <w:r w:rsidRPr="00142DF8">
              <w:rPr>
                <w:rFonts w:ascii="Calibri" w:eastAsia="Times New Roman" w:hAnsi="Calibri" w:cs="Calibri"/>
                <w:color w:val="000000"/>
                <w:sz w:val="22"/>
                <w:szCs w:val="22"/>
              </w:rPr>
              <w:t>Unlimited Annual Green Fee Pass, Lincoln Park</w:t>
            </w:r>
          </w:p>
        </w:tc>
        <w:tc>
          <w:tcPr>
            <w:tcW w:w="144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New</w:t>
            </w:r>
          </w:p>
        </w:tc>
        <w:tc>
          <w:tcPr>
            <w:tcW w:w="1260" w:type="dxa"/>
            <w:tcBorders>
              <w:top w:val="nil"/>
              <w:left w:val="nil"/>
              <w:bottom w:val="single" w:sz="4" w:space="0" w:color="C0504D"/>
              <w:right w:val="single" w:sz="4" w:space="0" w:color="C0504D"/>
            </w:tcBorders>
            <w:shd w:val="clear" w:color="auto" w:fill="auto"/>
            <w:noWrap/>
            <w:vAlign w:val="bottom"/>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$995</w:t>
            </w:r>
          </w:p>
        </w:tc>
        <w:tc>
          <w:tcPr>
            <w:tcW w:w="1350" w:type="dxa"/>
            <w:tcBorders>
              <w:top w:val="nil"/>
              <w:left w:val="nil"/>
              <w:bottom w:val="single" w:sz="4" w:space="0" w:color="C0504D"/>
              <w:right w:val="single" w:sz="4" w:space="0" w:color="C0504D"/>
            </w:tcBorders>
          </w:tcPr>
          <w:p w:rsidR="00142DF8" w:rsidRPr="00142DF8" w:rsidRDefault="00142DF8" w:rsidP="00142DF8">
            <w:pPr>
              <w:spacing w:after="0" w:line="240" w:lineRule="auto"/>
              <w:jc w:val="right"/>
              <w:rPr>
                <w:rFonts w:ascii="Calibri" w:eastAsia="Times New Roman" w:hAnsi="Calibri" w:cs="Calibri"/>
                <w:color w:val="000000"/>
                <w:sz w:val="22"/>
                <w:szCs w:val="22"/>
              </w:rPr>
            </w:pPr>
            <w:r w:rsidRPr="00142DF8">
              <w:rPr>
                <w:rFonts w:ascii="Calibri" w:eastAsia="Times New Roman" w:hAnsi="Calibri" w:cs="Calibri"/>
                <w:color w:val="000000"/>
                <w:sz w:val="22"/>
                <w:szCs w:val="22"/>
              </w:rPr>
              <w:t>n/a</w:t>
            </w:r>
          </w:p>
        </w:tc>
      </w:tr>
    </w:tbl>
    <w:p w:rsidR="00142DF8" w:rsidRPr="00142DF8" w:rsidRDefault="00142DF8" w:rsidP="00142DF8">
      <w:pPr>
        <w:spacing w:after="0" w:line="240" w:lineRule="auto"/>
        <w:rPr>
          <w:rFonts w:eastAsia="Calibri" w:cs="Arial"/>
        </w:rPr>
      </w:pPr>
    </w:p>
    <w:p w:rsidR="00142DF8" w:rsidRPr="00142DF8" w:rsidRDefault="00142DF8" w:rsidP="00142DF8">
      <w:pPr>
        <w:spacing w:after="0" w:line="240" w:lineRule="auto"/>
        <w:rPr>
          <w:rFonts w:eastAsia="Calibri" w:cs="Arial"/>
          <w:sz w:val="23"/>
          <w:szCs w:val="23"/>
        </w:rPr>
      </w:pPr>
      <w:r w:rsidRPr="00142DF8">
        <w:rPr>
          <w:rFonts w:eastAsia="Calibri" w:cs="Arial"/>
          <w:sz w:val="23"/>
          <w:szCs w:val="23"/>
        </w:rPr>
        <w:t>Ambulance Transport: See attached copy of Resolution No. 33-10 and the current (2016/2017) fee schedule. The 2017/2018 Fees will be established by the County on or about April 1, 2017.</w:t>
      </w:r>
    </w:p>
    <w:p w:rsidR="00142DF8" w:rsidRPr="00142DF8" w:rsidRDefault="00142DF8" w:rsidP="00142DF8">
      <w:pPr>
        <w:spacing w:after="0" w:line="240" w:lineRule="auto"/>
        <w:rPr>
          <w:rFonts w:eastAsia="Calibri" w:cs="Arial"/>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r w:rsidRPr="00142DF8">
        <w:rPr>
          <w:rFonts w:eastAsia="Calibri" w:cs="Arial"/>
          <w:color w:val="000000"/>
          <w:sz w:val="23"/>
          <w:szCs w:val="23"/>
        </w:rPr>
        <w:t xml:space="preserve">PASSED and ADOPTED this </w:t>
      </w:r>
      <w:r>
        <w:rPr>
          <w:rFonts w:eastAsia="Calibri" w:cs="Arial"/>
          <w:color w:val="000000"/>
          <w:sz w:val="23"/>
          <w:szCs w:val="23"/>
        </w:rPr>
        <w:t>7</w:t>
      </w:r>
      <w:r w:rsidRPr="00142DF8">
        <w:rPr>
          <w:rFonts w:eastAsia="Calibri" w:cs="Arial"/>
          <w:color w:val="000000"/>
          <w:sz w:val="23"/>
          <w:szCs w:val="23"/>
          <w:vertAlign w:val="superscript"/>
        </w:rPr>
        <w:t>th</w:t>
      </w:r>
      <w:r>
        <w:rPr>
          <w:rFonts w:eastAsia="Calibri" w:cs="Arial"/>
          <w:color w:val="000000"/>
          <w:sz w:val="23"/>
          <w:szCs w:val="23"/>
        </w:rPr>
        <w:t xml:space="preserve"> </w:t>
      </w:r>
      <w:r w:rsidRPr="00142DF8">
        <w:rPr>
          <w:rFonts w:eastAsia="Calibri" w:cs="Arial"/>
          <w:color w:val="000000"/>
          <w:sz w:val="23"/>
          <w:szCs w:val="23"/>
        </w:rPr>
        <w:t xml:space="preserve">day of </w:t>
      </w:r>
      <w:r>
        <w:rPr>
          <w:rFonts w:eastAsia="Calibri" w:cs="Arial"/>
          <w:color w:val="000000"/>
          <w:sz w:val="23"/>
          <w:szCs w:val="23"/>
        </w:rPr>
        <w:t>December</w:t>
      </w:r>
      <w:r w:rsidRPr="00142DF8">
        <w:rPr>
          <w:rFonts w:eastAsia="Calibri" w:cs="Arial"/>
          <w:color w:val="000000"/>
          <w:sz w:val="23"/>
          <w:szCs w:val="23"/>
        </w:rPr>
        <w:t xml:space="preserve">, 2016. </w:t>
      </w: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A72926" w:rsidP="00142DF8">
      <w:pPr>
        <w:autoSpaceDE w:val="0"/>
        <w:autoSpaceDN w:val="0"/>
        <w:adjustRightInd w:val="0"/>
        <w:spacing w:after="0" w:line="240" w:lineRule="auto"/>
        <w:rPr>
          <w:rFonts w:eastAsia="Calibri" w:cs="Arial"/>
          <w:color w:val="000000"/>
          <w:sz w:val="23"/>
          <w:szCs w:val="23"/>
          <w:u w:val="single"/>
        </w:rPr>
      </w:pPr>
      <w:r w:rsidRPr="00A72926">
        <w:rPr>
          <w:rFonts w:eastAsia="Calibri" w:cs="Arial"/>
          <w:color w:val="000000"/>
          <w:sz w:val="23"/>
          <w:szCs w:val="23"/>
          <w:u w:val="single"/>
        </w:rPr>
        <w:t>/s/ Phyllis Norris</w:t>
      </w:r>
      <w:r>
        <w:rPr>
          <w:rFonts w:eastAsia="Calibri" w:cs="Arial"/>
          <w:color w:val="000000"/>
          <w:sz w:val="23"/>
          <w:szCs w:val="23"/>
          <w:u w:val="single"/>
        </w:rPr>
        <w:tab/>
      </w:r>
      <w:r>
        <w:rPr>
          <w:rFonts w:eastAsia="Calibri" w:cs="Arial"/>
          <w:color w:val="000000"/>
          <w:sz w:val="23"/>
          <w:szCs w:val="23"/>
          <w:u w:val="single"/>
        </w:rPr>
        <w:tab/>
      </w:r>
    </w:p>
    <w:p w:rsidR="00142DF8" w:rsidRPr="00142DF8" w:rsidRDefault="00142DF8" w:rsidP="00142DF8">
      <w:pPr>
        <w:autoSpaceDE w:val="0"/>
        <w:autoSpaceDN w:val="0"/>
        <w:adjustRightInd w:val="0"/>
        <w:spacing w:after="0" w:line="240" w:lineRule="auto"/>
        <w:rPr>
          <w:rFonts w:eastAsia="Calibri" w:cs="Arial"/>
          <w:color w:val="000000"/>
          <w:sz w:val="23"/>
          <w:szCs w:val="23"/>
        </w:rPr>
      </w:pPr>
      <w:r w:rsidRPr="00142DF8">
        <w:rPr>
          <w:rFonts w:eastAsia="Calibri" w:cs="Arial"/>
          <w:color w:val="000000"/>
          <w:sz w:val="23"/>
          <w:szCs w:val="23"/>
        </w:rPr>
        <w:t xml:space="preserve">President of the Council </w:t>
      </w:r>
    </w:p>
    <w:p w:rsidR="00142DF8" w:rsidRDefault="00142DF8" w:rsidP="00142DF8">
      <w:pPr>
        <w:autoSpaceDE w:val="0"/>
        <w:autoSpaceDN w:val="0"/>
        <w:adjustRightInd w:val="0"/>
        <w:spacing w:after="0" w:line="240" w:lineRule="auto"/>
        <w:rPr>
          <w:rFonts w:eastAsia="Calibri" w:cs="Arial"/>
          <w:color w:val="000000"/>
          <w:sz w:val="23"/>
          <w:szCs w:val="23"/>
        </w:rPr>
      </w:pPr>
    </w:p>
    <w:p w:rsidR="00142DF8" w:rsidRDefault="00142DF8" w:rsidP="00142DF8">
      <w:pPr>
        <w:autoSpaceDE w:val="0"/>
        <w:autoSpaceDN w:val="0"/>
        <w:adjustRightInd w:val="0"/>
        <w:spacing w:after="0" w:line="240" w:lineRule="auto"/>
        <w:rPr>
          <w:rFonts w:eastAsia="Calibri" w:cs="Arial"/>
          <w:color w:val="000000"/>
          <w:sz w:val="23"/>
          <w:szCs w:val="23"/>
        </w:rPr>
      </w:pPr>
    </w:p>
    <w:p w:rsid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r w:rsidRPr="00142DF8">
        <w:rPr>
          <w:rFonts w:eastAsia="Calibri" w:cs="Arial"/>
          <w:color w:val="000000"/>
          <w:sz w:val="23"/>
          <w:szCs w:val="23"/>
        </w:rPr>
        <w:t xml:space="preserve">Attest: </w:t>
      </w: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142DF8" w:rsidP="00142DF8">
      <w:pPr>
        <w:autoSpaceDE w:val="0"/>
        <w:autoSpaceDN w:val="0"/>
        <w:adjustRightInd w:val="0"/>
        <w:spacing w:after="0" w:line="240" w:lineRule="auto"/>
        <w:rPr>
          <w:rFonts w:eastAsia="Calibri" w:cs="Arial"/>
          <w:color w:val="000000"/>
          <w:sz w:val="23"/>
          <w:szCs w:val="23"/>
        </w:rPr>
      </w:pPr>
    </w:p>
    <w:p w:rsidR="00142DF8" w:rsidRPr="00142DF8" w:rsidRDefault="00A72926" w:rsidP="00142DF8">
      <w:pPr>
        <w:autoSpaceDE w:val="0"/>
        <w:autoSpaceDN w:val="0"/>
        <w:adjustRightInd w:val="0"/>
        <w:spacing w:after="0" w:line="240" w:lineRule="auto"/>
        <w:rPr>
          <w:rFonts w:eastAsia="Calibri" w:cs="Arial"/>
          <w:color w:val="000000"/>
          <w:sz w:val="23"/>
          <w:szCs w:val="23"/>
          <w:u w:val="single"/>
        </w:rPr>
      </w:pPr>
      <w:r w:rsidRPr="00A72926">
        <w:rPr>
          <w:rFonts w:eastAsia="Calibri" w:cs="Arial"/>
          <w:color w:val="000000"/>
          <w:sz w:val="23"/>
          <w:szCs w:val="23"/>
          <w:u w:val="single"/>
        </w:rPr>
        <w:t>/s/ Stephanie Tuin</w:t>
      </w:r>
      <w:r>
        <w:rPr>
          <w:rFonts w:eastAsia="Calibri" w:cs="Arial"/>
          <w:color w:val="000000"/>
          <w:sz w:val="23"/>
          <w:szCs w:val="23"/>
          <w:u w:val="single"/>
        </w:rPr>
        <w:tab/>
      </w:r>
      <w:r>
        <w:rPr>
          <w:rFonts w:eastAsia="Calibri" w:cs="Arial"/>
          <w:color w:val="000000"/>
          <w:sz w:val="23"/>
          <w:szCs w:val="23"/>
          <w:u w:val="single"/>
        </w:rPr>
        <w:tab/>
      </w:r>
    </w:p>
    <w:p w:rsidR="00142DF8" w:rsidRPr="00142DF8" w:rsidRDefault="00142DF8" w:rsidP="00142DF8">
      <w:pPr>
        <w:autoSpaceDE w:val="0"/>
        <w:autoSpaceDN w:val="0"/>
        <w:adjustRightInd w:val="0"/>
        <w:spacing w:after="0" w:line="240" w:lineRule="auto"/>
        <w:rPr>
          <w:rFonts w:eastAsia="Calibri" w:cs="Arial"/>
          <w:color w:val="000000"/>
          <w:sz w:val="23"/>
          <w:szCs w:val="23"/>
        </w:rPr>
      </w:pPr>
      <w:r w:rsidRPr="00142DF8">
        <w:rPr>
          <w:rFonts w:eastAsia="Calibri" w:cs="Arial"/>
          <w:color w:val="000000"/>
          <w:sz w:val="23"/>
          <w:szCs w:val="23"/>
        </w:rPr>
        <w:t xml:space="preserve">City Clerk </w:t>
      </w:r>
    </w:p>
    <w:p w:rsidR="00514468" w:rsidRDefault="00514468">
      <w:r>
        <w:br w:type="page"/>
      </w:r>
    </w:p>
    <w:p w:rsidR="00514468" w:rsidRPr="00514468" w:rsidRDefault="00514468" w:rsidP="00514468">
      <w:pPr>
        <w:autoSpaceDE w:val="0"/>
        <w:autoSpaceDN w:val="0"/>
        <w:adjustRightInd w:val="0"/>
        <w:spacing w:after="0" w:line="240" w:lineRule="auto"/>
        <w:jc w:val="center"/>
        <w:rPr>
          <w:rFonts w:eastAsia="Calibri" w:cs="Arial"/>
          <w:b/>
          <w:color w:val="000000"/>
          <w:sz w:val="23"/>
          <w:szCs w:val="23"/>
        </w:rPr>
      </w:pPr>
      <w:r w:rsidRPr="00514468">
        <w:rPr>
          <w:rFonts w:eastAsia="Calibri" w:cs="Arial"/>
          <w:b/>
          <w:color w:val="000000"/>
          <w:sz w:val="23"/>
          <w:szCs w:val="23"/>
        </w:rPr>
        <w:lastRenderedPageBreak/>
        <w:t>RESOLUTION NO. 33-10</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jc w:val="center"/>
        <w:rPr>
          <w:rFonts w:eastAsia="Calibri" w:cs="Arial"/>
          <w:b/>
          <w:color w:val="000000"/>
          <w:sz w:val="23"/>
          <w:szCs w:val="23"/>
        </w:rPr>
      </w:pPr>
      <w:r w:rsidRPr="00514468">
        <w:rPr>
          <w:rFonts w:eastAsia="Calibri" w:cs="Arial"/>
          <w:b/>
          <w:color w:val="000000"/>
          <w:sz w:val="23"/>
          <w:szCs w:val="23"/>
        </w:rPr>
        <w:t>A RESOLUTION AMENDING AMBULANCE FEES IN THE CITY OF GRAND JUNCTION, COLORADO AND CREATING A MECHANISM FOR THOSE FEES TO INCREASE AS INCREASES ARE APPROVED BY MESA COUNTY</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r w:rsidRPr="00514468">
        <w:rPr>
          <w:rFonts w:eastAsia="Calibri" w:cs="Arial"/>
          <w:b/>
          <w:color w:val="000000"/>
          <w:sz w:val="23"/>
          <w:szCs w:val="23"/>
        </w:rPr>
        <w:t>Recitals</w:t>
      </w:r>
      <w:r w:rsidRPr="00514468">
        <w:rPr>
          <w:rFonts w:eastAsia="Calibri" w:cs="Arial"/>
          <w:color w:val="000000"/>
          <w:sz w:val="23"/>
          <w:szCs w:val="23"/>
        </w:rPr>
        <w:t xml:space="preserve">. </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In February 2006 the City Council and the Mesa County Board of Commissioners established the City as the ambulance service provider for the designated City Ambulance Service Area (ASA). The City ASA was established in accordance with Resolution 2004-220-2 (Mesa County EMS Resolution).</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 xml:space="preserve">By and through the Mesa County EMS Resolution Mesa County regulates inter alia the fees that may be charged by the ambulance service providers operating in the County, including the City operating within the City ASA. The Mesa County EMS Resolution provides that ambulance transport fees are adjusted in March of each year. The adjustments are based on the National Consumer Price Index (CPI) over the most recent </w:t>
      </w:r>
      <w:proofErr w:type="gramStart"/>
      <w:r w:rsidRPr="00514468">
        <w:rPr>
          <w:rFonts w:eastAsia="Calibri" w:cs="Arial"/>
          <w:color w:val="000000"/>
          <w:sz w:val="23"/>
          <w:szCs w:val="23"/>
        </w:rPr>
        <w:t>12 month</w:t>
      </w:r>
      <w:proofErr w:type="gramEnd"/>
      <w:r w:rsidRPr="00514468">
        <w:rPr>
          <w:rFonts w:eastAsia="Calibri" w:cs="Arial"/>
          <w:color w:val="000000"/>
          <w:sz w:val="23"/>
          <w:szCs w:val="23"/>
        </w:rPr>
        <w:t xml:space="preserve"> period.</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Currently the City implements changes to its ambulance transport fees as part of its annual budget adoption in December of each year. Because the City’s fees become effective early January of each year those fees are different than the County authorized fees for a period of at least nine months. That difference causes confusion and results in the City’s fees being less than authorized for a majority of a year.</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With this Resolution the City, by and through the Grand Junction Fire Department, will be authorized to charge the most current Mesa County ambulance transport fees at the time the fees are set and going forward the City Council authorizes the Fire Department to adjust and implement its ambulance transport fees on the schedule set by the County resolution.</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The City Council does desire to review the ambulance fees during its budget deliberations and accordingly does hereby request the City Manager to provide information about the ambulance fees (such as percentage change) during the City’s annual budget process. Notwithstanding such review the terms of this Resolution shall control unless or until this Resolution is amended or rescinded.</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 xml:space="preserve">NOW, THEREFORE, BE IT RESOLVED BY THE CITY COUNCIL OF THE CITY OF GRAND JUNCTION, COLORADO: </w:t>
      </w:r>
    </w:p>
    <w:p w:rsidR="00514468" w:rsidRPr="00514468" w:rsidRDefault="00514468" w:rsidP="00514468">
      <w:pPr>
        <w:autoSpaceDE w:val="0"/>
        <w:autoSpaceDN w:val="0"/>
        <w:adjustRightInd w:val="0"/>
        <w:spacing w:after="0" w:line="240" w:lineRule="auto"/>
        <w:rPr>
          <w:rFonts w:eastAsia="Calibri" w:cs="Arial"/>
          <w:color w:val="000000"/>
          <w:sz w:val="23"/>
          <w:szCs w:val="23"/>
        </w:rPr>
      </w:pPr>
    </w:p>
    <w:p w:rsidR="00514468" w:rsidRPr="00514468" w:rsidRDefault="00514468" w:rsidP="00514468">
      <w:pPr>
        <w:numPr>
          <w:ilvl w:val="0"/>
          <w:numId w:val="1"/>
        </w:num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The City of Grand Junction, Grand Junction Fire Department ambulance transport fees shall be set in accordance with the fees set annually by the Mesa County EMS Resolution.</w:t>
      </w: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p>
    <w:p w:rsidR="00514468" w:rsidRPr="00514468" w:rsidRDefault="00514468" w:rsidP="00514468">
      <w:pPr>
        <w:numPr>
          <w:ilvl w:val="0"/>
          <w:numId w:val="1"/>
        </w:num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t xml:space="preserve">The ambulance transport fees for the balance of 2010 shall be increased in accordance with the following schedule (attached). The fees provided for in the schedule shall become effective immediately. </w:t>
      </w:r>
    </w:p>
    <w:p w:rsidR="00514468" w:rsidRPr="00514468" w:rsidRDefault="00514468" w:rsidP="00514468">
      <w:pPr>
        <w:spacing w:after="0" w:line="240" w:lineRule="auto"/>
        <w:ind w:left="720"/>
        <w:rPr>
          <w:rFonts w:eastAsia="Calibri" w:cs="Arial"/>
          <w:color w:val="000000"/>
          <w:sz w:val="23"/>
          <w:szCs w:val="23"/>
        </w:rPr>
      </w:pPr>
    </w:p>
    <w:p w:rsidR="00514468" w:rsidRPr="00514468" w:rsidRDefault="00514468" w:rsidP="00514468">
      <w:pPr>
        <w:numPr>
          <w:ilvl w:val="0"/>
          <w:numId w:val="1"/>
        </w:numPr>
        <w:autoSpaceDE w:val="0"/>
        <w:autoSpaceDN w:val="0"/>
        <w:adjustRightInd w:val="0"/>
        <w:spacing w:after="0" w:line="240" w:lineRule="auto"/>
        <w:rPr>
          <w:rFonts w:eastAsia="Calibri" w:cs="Arial"/>
          <w:color w:val="000000"/>
          <w:sz w:val="23"/>
          <w:szCs w:val="23"/>
        </w:rPr>
      </w:pPr>
      <w:r w:rsidRPr="00514468">
        <w:rPr>
          <w:rFonts w:eastAsia="Calibri" w:cs="Arial"/>
          <w:color w:val="000000"/>
          <w:sz w:val="23"/>
          <w:szCs w:val="23"/>
        </w:rPr>
        <w:lastRenderedPageBreak/>
        <w:t>3. Fees set by prior resolution that are in conflict with this resolution are hereby repealed and all other fees not in conflict or specifically allowed shall be set in accordance with the maximum allowable rates in the Mesa County EMS Resolution.</w:t>
      </w: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r w:rsidRPr="00514468">
        <w:rPr>
          <w:rFonts w:eastAsia="Calibri" w:cs="Arial"/>
          <w:color w:val="000000"/>
          <w:sz w:val="23"/>
          <w:szCs w:val="23"/>
        </w:rPr>
        <w:t>All other terms of any other applicable resolution not modified herein shall remain in full force and effect. PASSED AND ADOPTED this 16th day of August, 2010.</w:t>
      </w: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r w:rsidRPr="00514468">
        <w:rPr>
          <w:rFonts w:eastAsia="Calibri" w:cs="Arial"/>
          <w:color w:val="000000"/>
          <w:sz w:val="23"/>
          <w:szCs w:val="23"/>
        </w:rPr>
        <w:t>/s/: Teresa A. Coons President of the Council</w:t>
      </w: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r w:rsidRPr="00514468">
        <w:rPr>
          <w:rFonts w:eastAsia="Calibri" w:cs="Arial"/>
          <w:color w:val="000000"/>
          <w:sz w:val="23"/>
          <w:szCs w:val="23"/>
        </w:rPr>
        <w:t>ATTEST:</w:t>
      </w: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r w:rsidRPr="00514468">
        <w:rPr>
          <w:rFonts w:eastAsia="Calibri" w:cs="Arial"/>
          <w:color w:val="000000"/>
          <w:sz w:val="23"/>
          <w:szCs w:val="23"/>
        </w:rPr>
        <w:t xml:space="preserve">/s/: Stephanie Tuin </w:t>
      </w: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r w:rsidRPr="00514468">
        <w:rPr>
          <w:rFonts w:eastAsia="Calibri" w:cs="Arial"/>
          <w:color w:val="000000"/>
          <w:sz w:val="23"/>
          <w:szCs w:val="23"/>
        </w:rPr>
        <w:t>City Clerk</w:t>
      </w:r>
    </w:p>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3960"/>
      </w:tblGrid>
      <w:tr w:rsidR="00514468" w:rsidRPr="00514468" w:rsidTr="00EE1838">
        <w:tc>
          <w:tcPr>
            <w:tcW w:w="4338" w:type="dxa"/>
            <w:tcBorders>
              <w:top w:val="single" w:sz="4" w:space="0" w:color="000000"/>
              <w:left w:val="single" w:sz="4" w:space="0" w:color="000000"/>
              <w:bottom w:val="single" w:sz="4" w:space="0" w:color="000000"/>
              <w:right w:val="single" w:sz="4" w:space="0" w:color="000000"/>
            </w:tcBorders>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Service</w:t>
            </w:r>
          </w:p>
        </w:tc>
        <w:tc>
          <w:tcPr>
            <w:tcW w:w="3960"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Fee</w:t>
            </w:r>
          </w:p>
        </w:tc>
      </w:tr>
      <w:tr w:rsidR="00514468" w:rsidRPr="00514468" w:rsidTr="00EE1838">
        <w:tc>
          <w:tcPr>
            <w:tcW w:w="4338"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Advanced Life Support (ALS)</w:t>
            </w:r>
          </w:p>
        </w:tc>
        <w:tc>
          <w:tcPr>
            <w:tcW w:w="3960"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$851.00</w:t>
            </w:r>
          </w:p>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p>
        </w:tc>
      </w:tr>
      <w:tr w:rsidR="00514468" w:rsidRPr="00514468" w:rsidTr="00EE1838">
        <w:tc>
          <w:tcPr>
            <w:tcW w:w="4338"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Basic Life Support (BLS)</w:t>
            </w:r>
          </w:p>
        </w:tc>
        <w:tc>
          <w:tcPr>
            <w:tcW w:w="3960"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$624.00</w:t>
            </w:r>
          </w:p>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p>
        </w:tc>
      </w:tr>
      <w:tr w:rsidR="00514468" w:rsidRPr="00514468" w:rsidTr="00EE1838">
        <w:tc>
          <w:tcPr>
            <w:tcW w:w="4338"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ALS Critical Care Transport</w:t>
            </w:r>
          </w:p>
        </w:tc>
        <w:tc>
          <w:tcPr>
            <w:tcW w:w="3960"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$927.00</w:t>
            </w:r>
          </w:p>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p>
        </w:tc>
      </w:tr>
      <w:tr w:rsidR="00514468" w:rsidRPr="00514468" w:rsidTr="00EE1838">
        <w:tc>
          <w:tcPr>
            <w:tcW w:w="4338"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BLS Critical Care Transport</w:t>
            </w:r>
          </w:p>
        </w:tc>
        <w:tc>
          <w:tcPr>
            <w:tcW w:w="3960" w:type="dxa"/>
            <w:tcBorders>
              <w:top w:val="single" w:sz="4" w:space="0" w:color="000000"/>
              <w:left w:val="single" w:sz="4" w:space="0" w:color="000000"/>
              <w:bottom w:val="single" w:sz="4" w:space="0" w:color="000000"/>
              <w:right w:val="single" w:sz="4" w:space="0" w:color="000000"/>
            </w:tcBorders>
            <w:hideMark/>
          </w:tcPr>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r w:rsidRPr="00514468">
              <w:rPr>
                <w:rFonts w:eastAsia="Calibri" w:cs="Arial"/>
                <w:b/>
                <w:color w:val="000000"/>
                <w:sz w:val="23"/>
                <w:szCs w:val="23"/>
              </w:rPr>
              <w:t>$709.00</w:t>
            </w:r>
          </w:p>
          <w:p w:rsidR="00514468" w:rsidRPr="00514468" w:rsidRDefault="00514468" w:rsidP="00514468">
            <w:pPr>
              <w:autoSpaceDE w:val="0"/>
              <w:autoSpaceDN w:val="0"/>
              <w:adjustRightInd w:val="0"/>
              <w:spacing w:after="0" w:line="240" w:lineRule="auto"/>
              <w:ind w:left="360"/>
              <w:jc w:val="center"/>
              <w:rPr>
                <w:rFonts w:eastAsia="Calibri" w:cs="Arial"/>
                <w:b/>
                <w:color w:val="000000"/>
                <w:sz w:val="23"/>
                <w:szCs w:val="23"/>
              </w:rPr>
            </w:pPr>
          </w:p>
        </w:tc>
      </w:tr>
    </w:tbl>
    <w:p w:rsidR="00514468" w:rsidRPr="00514468" w:rsidRDefault="00514468" w:rsidP="00514468">
      <w:pPr>
        <w:autoSpaceDE w:val="0"/>
        <w:autoSpaceDN w:val="0"/>
        <w:adjustRightInd w:val="0"/>
        <w:spacing w:after="0" w:line="240" w:lineRule="auto"/>
        <w:ind w:left="360"/>
        <w:rPr>
          <w:rFonts w:eastAsia="Calibri" w:cs="Arial"/>
          <w:color w:val="000000"/>
          <w:sz w:val="23"/>
          <w:szCs w:val="23"/>
        </w:rPr>
      </w:pPr>
    </w:p>
    <w:p w:rsidR="00947F8A" w:rsidRDefault="00947F8A">
      <w:r>
        <w:br w:type="page"/>
      </w:r>
    </w:p>
    <w:p w:rsidR="004B09FE" w:rsidRDefault="00947F8A">
      <w:bookmarkStart w:id="0" w:name="_GoBack"/>
      <w:bookmarkEnd w:id="0"/>
      <w:r>
        <w:rPr>
          <w:noProof/>
        </w:rPr>
        <w:lastRenderedPageBreak/>
        <w:drawing>
          <wp:inline distT="0" distB="0" distL="0" distR="0" wp14:anchorId="47A6E51A">
            <wp:extent cx="5942965" cy="78568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7856855"/>
                    </a:xfrm>
                    <a:prstGeom prst="rect">
                      <a:avLst/>
                    </a:prstGeom>
                    <a:noFill/>
                  </pic:spPr>
                </pic:pic>
              </a:graphicData>
            </a:graphic>
          </wp:inline>
        </w:drawing>
      </w:r>
    </w:p>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60CBD"/>
    <w:multiLevelType w:val="hybridMultilevel"/>
    <w:tmpl w:val="9412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F8"/>
    <w:rsid w:val="00142DF8"/>
    <w:rsid w:val="00272E6C"/>
    <w:rsid w:val="004B09FE"/>
    <w:rsid w:val="00510E0A"/>
    <w:rsid w:val="00514468"/>
    <w:rsid w:val="007C1F39"/>
    <w:rsid w:val="00947F8A"/>
    <w:rsid w:val="00A7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5356E-C919-488E-B98B-498C37FC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4</cp:revision>
  <cp:lastPrinted>2016-12-02T17:09:00Z</cp:lastPrinted>
  <dcterms:created xsi:type="dcterms:W3CDTF">2016-12-02T17:06:00Z</dcterms:created>
  <dcterms:modified xsi:type="dcterms:W3CDTF">2016-12-02T19:36:00Z</dcterms:modified>
</cp:coreProperties>
</file>