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5C" w:rsidRPr="00F54B8A" w:rsidRDefault="001F695C" w:rsidP="001F695C">
      <w:pPr>
        <w:pStyle w:val="Title"/>
        <w:rPr>
          <w:rFonts w:cs="Arial"/>
          <w:sz w:val="24"/>
          <w:szCs w:val="24"/>
        </w:rPr>
      </w:pPr>
      <w:bookmarkStart w:id="0" w:name="_GoBack"/>
      <w:bookmarkEnd w:id="0"/>
      <w:r w:rsidRPr="00F54B8A">
        <w:rPr>
          <w:rFonts w:cs="Arial"/>
          <w:sz w:val="24"/>
          <w:szCs w:val="24"/>
        </w:rPr>
        <w:t>CITY OF GRAND JUNCTION, COLORADO</w:t>
      </w:r>
    </w:p>
    <w:p w:rsidR="001F695C" w:rsidRPr="00F54B8A" w:rsidRDefault="001F695C" w:rsidP="001F695C">
      <w:pPr>
        <w:tabs>
          <w:tab w:val="left" w:pos="-720"/>
        </w:tabs>
        <w:suppressAutoHyphens/>
        <w:jc w:val="center"/>
        <w:rPr>
          <w:rFonts w:cs="Arial"/>
          <w:spacing w:val="-3"/>
          <w:szCs w:val="24"/>
        </w:rPr>
      </w:pPr>
    </w:p>
    <w:p w:rsidR="001F695C" w:rsidRPr="001D2AE9" w:rsidRDefault="001F695C" w:rsidP="001F695C">
      <w:pPr>
        <w:tabs>
          <w:tab w:val="center" w:pos="5400"/>
        </w:tabs>
        <w:suppressAutoHyphens/>
        <w:jc w:val="center"/>
        <w:rPr>
          <w:rFonts w:cs="Arial"/>
          <w:b/>
          <w:spacing w:val="-3"/>
          <w:szCs w:val="24"/>
        </w:rPr>
      </w:pPr>
      <w:r w:rsidRPr="00F54B8A">
        <w:rPr>
          <w:rFonts w:cs="Arial"/>
          <w:b/>
          <w:spacing w:val="-3"/>
          <w:szCs w:val="24"/>
        </w:rPr>
        <w:t>ORDINANCE NO</w:t>
      </w:r>
      <w:r w:rsidRPr="001D2AE9">
        <w:rPr>
          <w:rFonts w:cs="Arial"/>
          <w:b/>
          <w:spacing w:val="-3"/>
          <w:szCs w:val="24"/>
        </w:rPr>
        <w:t>.</w:t>
      </w:r>
      <w:r w:rsidR="001D2AE9">
        <w:rPr>
          <w:rFonts w:cs="Arial"/>
          <w:b/>
          <w:spacing w:val="-3"/>
          <w:szCs w:val="24"/>
        </w:rPr>
        <w:t xml:space="preserve"> 4951</w:t>
      </w:r>
    </w:p>
    <w:p w:rsidR="001F695C" w:rsidRPr="00F54B8A" w:rsidRDefault="001F695C" w:rsidP="001F695C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1F695C" w:rsidRPr="00F54B8A" w:rsidRDefault="001F695C" w:rsidP="001F695C">
      <w:pPr>
        <w:tabs>
          <w:tab w:val="left" w:pos="-720"/>
        </w:tabs>
        <w:suppressAutoHyphens/>
        <w:jc w:val="center"/>
        <w:rPr>
          <w:rFonts w:cs="Arial"/>
          <w:b/>
          <w:spacing w:val="-3"/>
          <w:szCs w:val="24"/>
        </w:rPr>
      </w:pPr>
    </w:p>
    <w:p w:rsidR="001F695C" w:rsidRDefault="001F695C" w:rsidP="001F695C">
      <w:pPr>
        <w:tabs>
          <w:tab w:val="left" w:pos="-720"/>
        </w:tabs>
        <w:suppressAutoHyphens/>
        <w:jc w:val="center"/>
        <w:rPr>
          <w:rFonts w:cs="Arial"/>
          <w:b/>
          <w:szCs w:val="24"/>
        </w:rPr>
      </w:pPr>
      <w:r w:rsidRPr="00F54B8A">
        <w:rPr>
          <w:rFonts w:cs="Arial"/>
          <w:b/>
          <w:szCs w:val="24"/>
        </w:rPr>
        <w:t xml:space="preserve">AN ORDINANCE </w:t>
      </w:r>
      <w:r w:rsidR="00112D74">
        <w:rPr>
          <w:rFonts w:cs="Arial"/>
          <w:b/>
          <w:szCs w:val="24"/>
        </w:rPr>
        <w:t>APPROVING AN AMENDED P</w:t>
      </w:r>
      <w:r w:rsidR="009E5500">
        <w:rPr>
          <w:rFonts w:cs="Arial"/>
          <w:b/>
          <w:szCs w:val="24"/>
        </w:rPr>
        <w:t>LANNED DEVELOPMENT (PD)</w:t>
      </w:r>
      <w:r w:rsidR="00112D74">
        <w:rPr>
          <w:rFonts w:cs="Arial"/>
          <w:b/>
          <w:szCs w:val="24"/>
        </w:rPr>
        <w:t xml:space="preserve"> AND</w:t>
      </w:r>
      <w:r>
        <w:rPr>
          <w:rFonts w:cs="Arial"/>
          <w:b/>
          <w:szCs w:val="24"/>
        </w:rPr>
        <w:t xml:space="preserve"> OUTLINE DEVELOPMENT PLAN </w:t>
      </w:r>
      <w:r w:rsidR="009E5500">
        <w:rPr>
          <w:rFonts w:cs="Arial"/>
          <w:b/>
          <w:szCs w:val="24"/>
        </w:rPr>
        <w:t>(</w:t>
      </w:r>
      <w:proofErr w:type="spellStart"/>
      <w:r w:rsidR="009E5500">
        <w:rPr>
          <w:rFonts w:cs="Arial"/>
          <w:b/>
          <w:szCs w:val="24"/>
        </w:rPr>
        <w:t>ODP</w:t>
      </w:r>
      <w:proofErr w:type="spellEnd"/>
      <w:r w:rsidR="009E5500">
        <w:rPr>
          <w:rFonts w:cs="Arial"/>
          <w:b/>
          <w:szCs w:val="24"/>
        </w:rPr>
        <w:t xml:space="preserve">) </w:t>
      </w:r>
      <w:r>
        <w:rPr>
          <w:rFonts w:cs="Arial"/>
          <w:b/>
          <w:szCs w:val="24"/>
        </w:rPr>
        <w:t xml:space="preserve">FOR </w:t>
      </w:r>
      <w:r w:rsidR="00112D74">
        <w:rPr>
          <w:rFonts w:cs="Arial"/>
          <w:b/>
          <w:szCs w:val="24"/>
        </w:rPr>
        <w:t xml:space="preserve">LOT 2, BLOCK 9 AND LOT 1, BLOCK 8 OF </w:t>
      </w:r>
      <w:r>
        <w:rPr>
          <w:rFonts w:cs="Arial"/>
          <w:b/>
          <w:szCs w:val="24"/>
        </w:rPr>
        <w:t xml:space="preserve">THE RIDGES FILING TWO </w:t>
      </w:r>
    </w:p>
    <w:p w:rsidR="001F695C" w:rsidRPr="00F54B8A" w:rsidRDefault="001F695C" w:rsidP="001F695C">
      <w:pPr>
        <w:pStyle w:val="EndnoteText"/>
        <w:rPr>
          <w:rFonts w:ascii="Arial" w:hAnsi="Arial" w:cs="Arial"/>
          <w:szCs w:val="24"/>
        </w:rPr>
      </w:pPr>
    </w:p>
    <w:p w:rsidR="001F695C" w:rsidRPr="00F54B8A" w:rsidRDefault="001F695C" w:rsidP="001F695C">
      <w:pPr>
        <w:tabs>
          <w:tab w:val="center" w:pos="5400"/>
        </w:tabs>
        <w:suppressAutoHyphens/>
        <w:jc w:val="center"/>
        <w:rPr>
          <w:szCs w:val="24"/>
        </w:rPr>
      </w:pPr>
    </w:p>
    <w:p w:rsidR="001F695C" w:rsidRPr="00F54B8A" w:rsidRDefault="001F695C" w:rsidP="001F695C">
      <w:pPr>
        <w:suppressAutoHyphens/>
        <w:jc w:val="both"/>
        <w:rPr>
          <w:rFonts w:cs="Arial"/>
          <w:szCs w:val="24"/>
        </w:rPr>
      </w:pPr>
      <w:r w:rsidRPr="00F54B8A">
        <w:rPr>
          <w:rFonts w:cs="Arial"/>
          <w:szCs w:val="24"/>
          <w:u w:val="single"/>
        </w:rPr>
        <w:t>Recitals</w:t>
      </w:r>
    </w:p>
    <w:p w:rsidR="001F695C" w:rsidRPr="00F54B8A" w:rsidRDefault="001F695C" w:rsidP="001F695C">
      <w:pPr>
        <w:suppressAutoHyphens/>
        <w:jc w:val="both"/>
        <w:rPr>
          <w:rFonts w:cs="Arial"/>
          <w:szCs w:val="24"/>
        </w:rPr>
      </w:pPr>
      <w:r w:rsidRPr="00F54B8A">
        <w:rPr>
          <w:rFonts w:cs="Arial"/>
          <w:szCs w:val="24"/>
        </w:rPr>
        <w:tab/>
        <w:t xml:space="preserve">After public notice and public hearing as required by the Grand Junction </w:t>
      </w:r>
      <w:r>
        <w:rPr>
          <w:rFonts w:cs="Arial"/>
          <w:szCs w:val="24"/>
        </w:rPr>
        <w:t>Municipal</w:t>
      </w:r>
      <w:r w:rsidRPr="00F54B8A">
        <w:rPr>
          <w:rFonts w:cs="Arial"/>
          <w:szCs w:val="24"/>
        </w:rPr>
        <w:t xml:space="preserve"> Code, the Grand Junction Planning Commission recommended approval of </w:t>
      </w:r>
      <w:r>
        <w:rPr>
          <w:rFonts w:cs="Arial"/>
          <w:szCs w:val="24"/>
        </w:rPr>
        <w:t xml:space="preserve">the amendment to the Outline Development Plan for The Ridges Filing Two, </w:t>
      </w:r>
      <w:r w:rsidRPr="00F54B8A">
        <w:rPr>
          <w:rFonts w:cs="Arial"/>
          <w:szCs w:val="24"/>
        </w:rPr>
        <w:t xml:space="preserve">finding that </w:t>
      </w:r>
      <w:r>
        <w:rPr>
          <w:rFonts w:cs="Arial"/>
          <w:szCs w:val="24"/>
        </w:rPr>
        <w:t>the ODP as amended</w:t>
      </w:r>
      <w:r w:rsidRPr="00F54B8A">
        <w:rPr>
          <w:rFonts w:cs="Arial"/>
          <w:szCs w:val="24"/>
        </w:rPr>
        <w:t xml:space="preserve"> conforms to the </w:t>
      </w:r>
      <w:r>
        <w:rPr>
          <w:rFonts w:cs="Arial"/>
          <w:szCs w:val="24"/>
        </w:rPr>
        <w:t xml:space="preserve">Future Land Use map, the Blended Map and the goals and policies of the City’s Comprehensive Plan.  </w:t>
      </w:r>
      <w:r w:rsidRPr="00F54B8A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 xml:space="preserve">ODP as amended </w:t>
      </w:r>
      <w:r w:rsidRPr="00F54B8A">
        <w:rPr>
          <w:rFonts w:cs="Arial"/>
          <w:szCs w:val="24"/>
        </w:rPr>
        <w:t>meets the criteria found in Section 2</w:t>
      </w:r>
      <w:r>
        <w:rPr>
          <w:rFonts w:cs="Arial"/>
          <w:szCs w:val="24"/>
        </w:rPr>
        <w:t>1</w:t>
      </w:r>
      <w:r w:rsidRPr="00F54B8A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02.140 </w:t>
      </w:r>
      <w:r w:rsidRPr="00F54B8A">
        <w:rPr>
          <w:rFonts w:cs="Arial"/>
          <w:szCs w:val="24"/>
        </w:rPr>
        <w:t xml:space="preserve">of the </w:t>
      </w:r>
      <w:r>
        <w:rPr>
          <w:rFonts w:cs="Arial"/>
          <w:szCs w:val="24"/>
        </w:rPr>
        <w:t>Grand Junction Municipal</w:t>
      </w:r>
      <w:r w:rsidRPr="00F54B8A">
        <w:rPr>
          <w:rFonts w:cs="Arial"/>
          <w:szCs w:val="24"/>
        </w:rPr>
        <w:t xml:space="preserve"> Code</w:t>
      </w:r>
      <w:r>
        <w:rPr>
          <w:rFonts w:cs="Arial"/>
          <w:szCs w:val="24"/>
        </w:rPr>
        <w:t xml:space="preserve"> and the requirements of Section 21.02.150, regarding Planned Developments</w:t>
      </w:r>
      <w:r w:rsidRPr="00F54B8A">
        <w:rPr>
          <w:rFonts w:cs="Arial"/>
          <w:szCs w:val="24"/>
        </w:rPr>
        <w:t>.</w:t>
      </w:r>
      <w:r>
        <w:rPr>
          <w:rFonts w:cs="Arial"/>
          <w:szCs w:val="24"/>
        </w:rPr>
        <w:t xml:space="preserve">  The default zoning is R-O, Residential Office.</w:t>
      </w:r>
    </w:p>
    <w:p w:rsidR="001F695C" w:rsidRPr="00F54B8A" w:rsidRDefault="001F695C" w:rsidP="001F695C">
      <w:pPr>
        <w:suppressAutoHyphens/>
        <w:jc w:val="both"/>
        <w:rPr>
          <w:rFonts w:cs="Arial"/>
          <w:szCs w:val="24"/>
        </w:rPr>
      </w:pPr>
    </w:p>
    <w:p w:rsidR="001F695C" w:rsidRPr="00F54B8A" w:rsidRDefault="001F695C" w:rsidP="001F695C">
      <w:pPr>
        <w:suppressAutoHyphens/>
        <w:jc w:val="both"/>
        <w:rPr>
          <w:rFonts w:cs="Arial"/>
          <w:szCs w:val="24"/>
        </w:rPr>
      </w:pPr>
      <w:r w:rsidRPr="00F54B8A">
        <w:rPr>
          <w:rFonts w:cs="Arial"/>
          <w:szCs w:val="24"/>
        </w:rPr>
        <w:tab/>
        <w:t xml:space="preserve">After public notice and public hearing before the Grand Junction City Council, City Council finds that </w:t>
      </w:r>
      <w:r>
        <w:rPr>
          <w:rFonts w:cs="Arial"/>
          <w:szCs w:val="24"/>
        </w:rPr>
        <w:t>T</w:t>
      </w:r>
      <w:r w:rsidRPr="00F54B8A">
        <w:rPr>
          <w:rFonts w:cs="Arial"/>
          <w:szCs w:val="24"/>
        </w:rPr>
        <w:t xml:space="preserve">he </w:t>
      </w:r>
      <w:r>
        <w:rPr>
          <w:rFonts w:cs="Arial"/>
          <w:szCs w:val="24"/>
        </w:rPr>
        <w:t>Ridges Filing Two Amended Outline Development Plan i</w:t>
      </w:r>
      <w:r w:rsidRPr="00F54B8A">
        <w:rPr>
          <w:rFonts w:cs="Arial"/>
          <w:szCs w:val="24"/>
        </w:rPr>
        <w:t>s in conformance with the criteria of Section 2</w:t>
      </w:r>
      <w:r>
        <w:rPr>
          <w:rFonts w:cs="Arial"/>
          <w:szCs w:val="24"/>
        </w:rPr>
        <w:t>1</w:t>
      </w:r>
      <w:r w:rsidRPr="00F54B8A">
        <w:rPr>
          <w:rFonts w:cs="Arial"/>
          <w:szCs w:val="24"/>
        </w:rPr>
        <w:t>.</w:t>
      </w:r>
      <w:r>
        <w:rPr>
          <w:rFonts w:cs="Arial"/>
          <w:szCs w:val="24"/>
        </w:rPr>
        <w:t>02.150</w:t>
      </w:r>
      <w:r w:rsidRPr="00F54B8A">
        <w:rPr>
          <w:rFonts w:cs="Arial"/>
          <w:szCs w:val="24"/>
        </w:rPr>
        <w:t xml:space="preserve"> of the Grand Junction </w:t>
      </w:r>
      <w:r>
        <w:rPr>
          <w:rFonts w:cs="Arial"/>
          <w:szCs w:val="24"/>
        </w:rPr>
        <w:t>Municipal</w:t>
      </w:r>
      <w:r w:rsidRPr="00F54B8A">
        <w:rPr>
          <w:rFonts w:cs="Arial"/>
          <w:szCs w:val="24"/>
        </w:rPr>
        <w:t xml:space="preserve"> Code.</w:t>
      </w:r>
    </w:p>
    <w:p w:rsidR="001F695C" w:rsidRPr="00F54B8A" w:rsidRDefault="001F695C" w:rsidP="001F695C">
      <w:pPr>
        <w:suppressAutoHyphens/>
        <w:jc w:val="both"/>
        <w:rPr>
          <w:rFonts w:cs="Arial"/>
          <w:szCs w:val="24"/>
        </w:rPr>
      </w:pPr>
    </w:p>
    <w:p w:rsidR="001F695C" w:rsidRPr="00F54B8A" w:rsidRDefault="001F695C" w:rsidP="001F695C">
      <w:pPr>
        <w:suppressAutoHyphens/>
        <w:jc w:val="both"/>
        <w:rPr>
          <w:rFonts w:cs="Arial"/>
          <w:szCs w:val="24"/>
        </w:rPr>
      </w:pPr>
      <w:r w:rsidRPr="00F54B8A">
        <w:rPr>
          <w:rFonts w:cs="Arial"/>
          <w:b/>
          <w:szCs w:val="24"/>
        </w:rPr>
        <w:t xml:space="preserve">BE IT ORDAINED BY THE CITY COUNCIL OF THE CITY OF </w:t>
      </w:r>
      <w:smartTag w:uri="urn:schemas-microsoft-com:office:smarttags" w:element="place">
        <w:smartTag w:uri="urn:schemas-microsoft-com:office:smarttags" w:element="City">
          <w:r w:rsidRPr="00F54B8A">
            <w:rPr>
              <w:rFonts w:cs="Arial"/>
              <w:b/>
              <w:szCs w:val="24"/>
            </w:rPr>
            <w:t>GRAND</w:t>
          </w:r>
        </w:smartTag>
      </w:smartTag>
      <w:r w:rsidRPr="00F54B8A">
        <w:rPr>
          <w:rFonts w:cs="Arial"/>
          <w:b/>
          <w:szCs w:val="24"/>
        </w:rPr>
        <w:t xml:space="preserve"> JUNCTION THAT:</w:t>
      </w:r>
    </w:p>
    <w:p w:rsidR="001F695C" w:rsidRPr="00F54B8A" w:rsidRDefault="001F695C" w:rsidP="001F695C">
      <w:pPr>
        <w:suppressAutoHyphens/>
        <w:jc w:val="both"/>
        <w:rPr>
          <w:rFonts w:cs="Arial"/>
          <w:szCs w:val="24"/>
        </w:rPr>
      </w:pPr>
    </w:p>
    <w:p w:rsidR="001F695C" w:rsidRPr="002528D6" w:rsidRDefault="001F695C" w:rsidP="001F695C">
      <w:pPr>
        <w:jc w:val="both"/>
        <w:rPr>
          <w:szCs w:val="24"/>
        </w:rPr>
      </w:pPr>
      <w:r w:rsidRPr="00F54B8A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>Ridges Filing Two is</w:t>
      </w:r>
      <w:r w:rsidRPr="00F54B8A">
        <w:rPr>
          <w:rFonts w:cs="Arial"/>
          <w:szCs w:val="24"/>
        </w:rPr>
        <w:t xml:space="preserve"> zoned </w:t>
      </w:r>
      <w:r>
        <w:rPr>
          <w:rFonts w:cs="Arial"/>
          <w:szCs w:val="24"/>
        </w:rPr>
        <w:t>PD</w:t>
      </w:r>
      <w:r w:rsidRPr="00F54B8A">
        <w:rPr>
          <w:rFonts w:cs="Arial"/>
          <w:szCs w:val="24"/>
        </w:rPr>
        <w:t xml:space="preserve"> (</w:t>
      </w:r>
      <w:r>
        <w:rPr>
          <w:rFonts w:cs="Arial"/>
          <w:szCs w:val="24"/>
        </w:rPr>
        <w:t xml:space="preserve">Planned Development).  In addition to the allowed uses contained in the ODP the parcels shall not exceed the maximum </w:t>
      </w:r>
      <w:r>
        <w:rPr>
          <w:szCs w:val="24"/>
        </w:rPr>
        <w:t xml:space="preserve">or the </w:t>
      </w:r>
      <w:r w:rsidRPr="002528D6">
        <w:rPr>
          <w:szCs w:val="24"/>
        </w:rPr>
        <w:t>minimum densities</w:t>
      </w:r>
      <w:r>
        <w:rPr>
          <w:szCs w:val="24"/>
        </w:rPr>
        <w:t xml:space="preserve">.  Each parcel has been identified as </w:t>
      </w:r>
      <w:r w:rsidRPr="002528D6">
        <w:rPr>
          <w:szCs w:val="24"/>
        </w:rPr>
        <w:t>Parcel 1, maximum</w:t>
      </w:r>
      <w:r>
        <w:rPr>
          <w:szCs w:val="24"/>
        </w:rPr>
        <w:t xml:space="preserve"> </w:t>
      </w:r>
      <w:r w:rsidRPr="002528D6">
        <w:rPr>
          <w:szCs w:val="24"/>
        </w:rPr>
        <w:t>density will be six (6) dwelling units; the minimum number of units will be three (3).  The maximum number of dwelling units for Parcel</w:t>
      </w:r>
      <w:r>
        <w:rPr>
          <w:szCs w:val="24"/>
        </w:rPr>
        <w:t xml:space="preserve"> </w:t>
      </w:r>
      <w:r w:rsidRPr="002528D6">
        <w:rPr>
          <w:szCs w:val="24"/>
        </w:rPr>
        <w:t>2, will be ten (10) units; the minimum number of units will be three (3).</w:t>
      </w:r>
    </w:p>
    <w:p w:rsidR="001F695C" w:rsidRDefault="001F695C" w:rsidP="001F695C">
      <w:pPr>
        <w:suppressAutoHyphens/>
        <w:rPr>
          <w:rFonts w:cs="Arial"/>
          <w:szCs w:val="24"/>
        </w:rPr>
      </w:pPr>
    </w:p>
    <w:p w:rsidR="001F695C" w:rsidRDefault="001F695C" w:rsidP="001F695C">
      <w:pPr>
        <w:suppressAutoHyphens/>
        <w:rPr>
          <w:rFonts w:cs="Arial"/>
          <w:szCs w:val="24"/>
        </w:rPr>
      </w:pPr>
      <w:r>
        <w:rPr>
          <w:rFonts w:cs="Arial"/>
          <w:szCs w:val="24"/>
        </w:rPr>
        <w:t>This Ordinance is further conditioned:</w:t>
      </w:r>
    </w:p>
    <w:p w:rsidR="001F695C" w:rsidRDefault="001F695C" w:rsidP="001F695C">
      <w:pPr>
        <w:suppressAutoHyphens/>
        <w:rPr>
          <w:rFonts w:cs="Arial"/>
          <w:szCs w:val="24"/>
        </w:rPr>
      </w:pPr>
    </w:p>
    <w:p w:rsidR="001F695C" w:rsidRDefault="001F695C" w:rsidP="001F695C">
      <w:pPr>
        <w:rPr>
          <w:szCs w:val="24"/>
        </w:rPr>
      </w:pPr>
      <w:r>
        <w:rPr>
          <w:rFonts w:cs="Arial"/>
          <w:szCs w:val="24"/>
        </w:rPr>
        <w:t xml:space="preserve">1)   </w:t>
      </w:r>
      <w:r>
        <w:rPr>
          <w:rFonts w:cs="Arial"/>
          <w:szCs w:val="24"/>
        </w:rPr>
        <w:tab/>
        <w:t>I</w:t>
      </w:r>
      <w:r>
        <w:rPr>
          <w:szCs w:val="24"/>
        </w:rPr>
        <w:t xml:space="preserve">f the planned development approval expires or becomes invalid for any reason, the property shall be fully subject to the default standards.  The default standards of the R-O zoning designation shall apply.     </w:t>
      </w:r>
    </w:p>
    <w:p w:rsidR="001F695C" w:rsidRDefault="001F695C" w:rsidP="001F695C">
      <w:pPr>
        <w:rPr>
          <w:szCs w:val="24"/>
        </w:rPr>
      </w:pPr>
    </w:p>
    <w:p w:rsidR="001F695C" w:rsidRDefault="001F695C" w:rsidP="001F695C">
      <w:pPr>
        <w:suppressAutoHyphens/>
        <w:rPr>
          <w:szCs w:val="24"/>
        </w:rPr>
      </w:pPr>
      <w:r w:rsidRPr="004A33E4">
        <w:rPr>
          <w:szCs w:val="24"/>
        </w:rPr>
        <w:t>2</w:t>
      </w:r>
      <w:r>
        <w:rPr>
          <w:szCs w:val="24"/>
        </w:rPr>
        <w:t xml:space="preserve">) </w:t>
      </w:r>
      <w:r>
        <w:rPr>
          <w:szCs w:val="24"/>
        </w:rPr>
        <w:tab/>
        <w:t>The following setbacks shall apply:</w:t>
      </w:r>
    </w:p>
    <w:p w:rsidR="001F695C" w:rsidRDefault="001F695C" w:rsidP="001F695C">
      <w:pPr>
        <w:suppressAutoHyphens/>
        <w:rPr>
          <w:szCs w:val="24"/>
        </w:rPr>
      </w:pPr>
    </w:p>
    <w:p w:rsidR="001F695C" w:rsidRDefault="001F695C" w:rsidP="001F695C">
      <w:pPr>
        <w:suppressAutoHyphens/>
        <w:rPr>
          <w:szCs w:val="24"/>
        </w:rPr>
      </w:pPr>
    </w:p>
    <w:p w:rsidR="001F695C" w:rsidRDefault="001F695C" w:rsidP="001F695C">
      <w:pPr>
        <w:suppressAutoHyphens/>
        <w:rPr>
          <w:szCs w:val="24"/>
        </w:rPr>
      </w:pPr>
    </w:p>
    <w:p w:rsidR="001F695C" w:rsidRDefault="001F695C" w:rsidP="001F695C">
      <w:pPr>
        <w:suppressAutoHyphens/>
        <w:rPr>
          <w:szCs w:val="24"/>
        </w:rPr>
      </w:pPr>
    </w:p>
    <w:p w:rsidR="001F695C" w:rsidRDefault="001F695C" w:rsidP="001F695C">
      <w:pPr>
        <w:suppressAutoHyphens/>
        <w:rPr>
          <w:szCs w:val="24"/>
        </w:rPr>
      </w:pPr>
      <w:r>
        <w:rPr>
          <w:szCs w:val="24"/>
        </w:rPr>
        <w:lastRenderedPageBreak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4"/>
        <w:gridCol w:w="2146"/>
        <w:gridCol w:w="2146"/>
      </w:tblGrid>
      <w:tr w:rsidR="001F695C" w:rsidTr="00DC3B91">
        <w:tc>
          <w:tcPr>
            <w:tcW w:w="219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Parcel 1 (south)</w:t>
            </w:r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Parcel 2 (north)</w:t>
            </w:r>
          </w:p>
        </w:tc>
      </w:tr>
      <w:tr w:rsidR="001F695C" w:rsidTr="00DC3B91">
        <w:tc>
          <w:tcPr>
            <w:tcW w:w="219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Max. height</w:t>
            </w:r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35’</w:t>
            </w:r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35’</w:t>
            </w:r>
          </w:p>
        </w:tc>
      </w:tr>
      <w:tr w:rsidR="001F695C" w:rsidTr="00DC3B91">
        <w:tc>
          <w:tcPr>
            <w:tcW w:w="219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Max. stories</w:t>
            </w:r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1F695C" w:rsidTr="00DC3B91">
        <w:tc>
          <w:tcPr>
            <w:tcW w:w="219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Max. bldg. size</w:t>
            </w:r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10,000 </w:t>
            </w:r>
            <w:proofErr w:type="spellStart"/>
            <w:r>
              <w:rPr>
                <w:szCs w:val="24"/>
              </w:rPr>
              <w:t>s.f.</w:t>
            </w:r>
            <w:proofErr w:type="spellEnd"/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10,000 </w:t>
            </w:r>
            <w:proofErr w:type="spellStart"/>
            <w:r>
              <w:rPr>
                <w:szCs w:val="24"/>
              </w:rPr>
              <w:t>s.f.</w:t>
            </w:r>
            <w:proofErr w:type="spellEnd"/>
          </w:p>
        </w:tc>
      </w:tr>
      <w:tr w:rsidR="001F695C" w:rsidTr="00DC3B91">
        <w:tc>
          <w:tcPr>
            <w:tcW w:w="219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Front Setback—Ridges Blvd</w:t>
            </w:r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10’</w:t>
            </w:r>
          </w:p>
        </w:tc>
        <w:tc>
          <w:tcPr>
            <w:tcW w:w="214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10’</w:t>
            </w:r>
          </w:p>
        </w:tc>
      </w:tr>
      <w:tr w:rsidR="001F695C" w:rsidTr="00DC3B91">
        <w:tc>
          <w:tcPr>
            <w:tcW w:w="219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Front Setback—Ridge Circle Dr.</w:t>
            </w:r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15’</w:t>
            </w:r>
          </w:p>
        </w:tc>
        <w:tc>
          <w:tcPr>
            <w:tcW w:w="214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15’</w:t>
            </w:r>
          </w:p>
        </w:tc>
      </w:tr>
      <w:tr w:rsidR="001F695C" w:rsidTr="00DC3B91">
        <w:tc>
          <w:tcPr>
            <w:tcW w:w="219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Side setback (west property lines)</w:t>
            </w:r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10’</w:t>
            </w:r>
          </w:p>
        </w:tc>
        <w:tc>
          <w:tcPr>
            <w:tcW w:w="214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10’</w:t>
            </w:r>
          </w:p>
        </w:tc>
      </w:tr>
      <w:tr w:rsidR="001F695C" w:rsidTr="00DC3B91">
        <w:tc>
          <w:tcPr>
            <w:tcW w:w="219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Rear setback (Parcel 1—south prop. line; Parcel 2—north prop. line</w:t>
            </w:r>
          </w:p>
        </w:tc>
        <w:tc>
          <w:tcPr>
            <w:tcW w:w="2146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5’</w:t>
            </w:r>
          </w:p>
        </w:tc>
        <w:tc>
          <w:tcPr>
            <w:tcW w:w="2144" w:type="dxa"/>
          </w:tcPr>
          <w:p w:rsidR="001F695C" w:rsidRDefault="001F695C" w:rsidP="00DC3B9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10’</w:t>
            </w:r>
          </w:p>
        </w:tc>
      </w:tr>
    </w:tbl>
    <w:p w:rsidR="001F695C" w:rsidRDefault="001F695C" w:rsidP="001F695C">
      <w:pPr>
        <w:suppressAutoHyphens/>
        <w:rPr>
          <w:szCs w:val="24"/>
        </w:rPr>
      </w:pPr>
    </w:p>
    <w:p w:rsidR="001F695C" w:rsidRDefault="001F695C" w:rsidP="001F695C">
      <w:pPr>
        <w:suppressAutoHyphens/>
        <w:rPr>
          <w:szCs w:val="24"/>
        </w:rPr>
      </w:pPr>
    </w:p>
    <w:p w:rsidR="001F695C" w:rsidRDefault="001F695C" w:rsidP="001F695C">
      <w:pPr>
        <w:suppressAutoHyphens/>
        <w:rPr>
          <w:szCs w:val="24"/>
        </w:rPr>
      </w:pPr>
      <w:r>
        <w:rPr>
          <w:szCs w:val="24"/>
        </w:rPr>
        <w:t xml:space="preserve">3) </w:t>
      </w:r>
      <w:r>
        <w:rPr>
          <w:szCs w:val="24"/>
        </w:rPr>
        <w:tab/>
        <w:t>Building heights are limited to 35 feet, or 3 stories.</w:t>
      </w:r>
    </w:p>
    <w:p w:rsidR="001F695C" w:rsidRDefault="001F695C" w:rsidP="001F695C">
      <w:pPr>
        <w:suppressAutoHyphens/>
        <w:rPr>
          <w:szCs w:val="24"/>
        </w:rPr>
      </w:pPr>
    </w:p>
    <w:p w:rsidR="001F695C" w:rsidRDefault="001F695C" w:rsidP="001F695C">
      <w:pPr>
        <w:suppressAutoHyphens/>
        <w:rPr>
          <w:szCs w:val="24"/>
        </w:rPr>
      </w:pPr>
      <w:r>
        <w:rPr>
          <w:szCs w:val="24"/>
        </w:rPr>
        <w:t xml:space="preserve">4) </w:t>
      </w:r>
      <w:r>
        <w:rPr>
          <w:szCs w:val="24"/>
        </w:rPr>
        <w:tab/>
        <w:t>Maximum building size will be 10,000 square feet.</w:t>
      </w:r>
    </w:p>
    <w:p w:rsidR="001F695C" w:rsidRDefault="001F695C" w:rsidP="001F695C">
      <w:pPr>
        <w:suppressAutoHyphens/>
        <w:rPr>
          <w:szCs w:val="24"/>
        </w:rPr>
      </w:pPr>
    </w:p>
    <w:p w:rsidR="001F695C" w:rsidRDefault="001F695C" w:rsidP="001F695C">
      <w:pPr>
        <w:suppressAutoHyphens/>
        <w:rPr>
          <w:szCs w:val="24"/>
        </w:rPr>
      </w:pPr>
      <w:r>
        <w:rPr>
          <w:szCs w:val="24"/>
        </w:rPr>
        <w:t xml:space="preserve">5) </w:t>
      </w:r>
      <w:r>
        <w:rPr>
          <w:szCs w:val="24"/>
        </w:rPr>
        <w:tab/>
        <w:t>Access shall be obtained from Ridge Circle Drive unless through the site plan review process for a commercial/business application, interconnectivity from Parcel 2, to the office complex to the north may be considered.</w:t>
      </w:r>
    </w:p>
    <w:p w:rsidR="001F695C" w:rsidRDefault="001F695C" w:rsidP="001F695C">
      <w:pPr>
        <w:suppressAutoHyphens/>
        <w:rPr>
          <w:szCs w:val="24"/>
        </w:rPr>
      </w:pPr>
    </w:p>
    <w:p w:rsidR="001F695C" w:rsidRDefault="001F695C" w:rsidP="001F695C">
      <w:pPr>
        <w:suppressAutoHyphens/>
        <w:rPr>
          <w:szCs w:val="24"/>
        </w:rPr>
      </w:pPr>
      <w:r>
        <w:rPr>
          <w:szCs w:val="24"/>
        </w:rPr>
        <w:t xml:space="preserve">6) </w:t>
      </w:r>
      <w:r>
        <w:rPr>
          <w:szCs w:val="24"/>
        </w:rPr>
        <w:tab/>
        <w:t xml:space="preserve">Allowed uses shall include:  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 xml:space="preserve">Household living – Business Residence, Rooming/Boarding House, Two-Family Dwelling, Single-Family Detached, Multi-Family, Accessory Dwelling Unit. Home Occupations 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 xml:space="preserve">Group Living – Small Group Living Facility, Large Group Living Facility 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 xml:space="preserve">Community Service – Community Activity Building, All Other Community Service. Cultural – Museum, Art Galleries, Libraries 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 xml:space="preserve">Day Care – Home-Based Day Care, General Day Care  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>Hospital/Clinic – Medical and Dental Clinics, Counseling Centers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 xml:space="preserve">Religious Assembly 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 xml:space="preserve">Safety Services 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>Recreation and Entertainment, Indoor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 xml:space="preserve">Produce Stands 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>Personal Services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 xml:space="preserve">Lodging – Bed and Breakfast </w:t>
      </w:r>
    </w:p>
    <w:p w:rsidR="001F695C" w:rsidRPr="003A0D92" w:rsidRDefault="001F695C" w:rsidP="001F695C">
      <w:pPr>
        <w:pStyle w:val="ListParagraph"/>
        <w:numPr>
          <w:ilvl w:val="0"/>
          <w:numId w:val="1"/>
        </w:numPr>
        <w:suppressAutoHyphens/>
        <w:rPr>
          <w:rFonts w:ascii="Arial" w:hAnsi="Arial" w:cs="Arial"/>
          <w:sz w:val="24"/>
          <w:szCs w:val="24"/>
        </w:rPr>
      </w:pPr>
      <w:r w:rsidRPr="003A0D92">
        <w:rPr>
          <w:rFonts w:ascii="Arial" w:hAnsi="Arial" w:cs="Arial"/>
          <w:sz w:val="24"/>
          <w:szCs w:val="24"/>
        </w:rPr>
        <w:t>General Offices</w:t>
      </w:r>
    </w:p>
    <w:p w:rsidR="001F695C" w:rsidRDefault="001F695C" w:rsidP="001F695C">
      <w:pPr>
        <w:suppressAutoHyphens/>
        <w:rPr>
          <w:szCs w:val="24"/>
        </w:rPr>
      </w:pPr>
    </w:p>
    <w:p w:rsidR="001F695C" w:rsidRDefault="001F695C" w:rsidP="001F695C">
      <w:pPr>
        <w:suppressAutoHyphens/>
        <w:rPr>
          <w:szCs w:val="24"/>
        </w:rPr>
      </w:pPr>
    </w:p>
    <w:p w:rsidR="001F695C" w:rsidRPr="00F54B8A" w:rsidRDefault="001F695C" w:rsidP="001F695C">
      <w:pPr>
        <w:suppressAutoHyphens/>
        <w:rPr>
          <w:rFonts w:cs="Arial"/>
          <w:szCs w:val="24"/>
        </w:rPr>
      </w:pPr>
    </w:p>
    <w:p w:rsidR="001F695C" w:rsidRPr="001E74FE" w:rsidRDefault="001F695C" w:rsidP="001F695C">
      <w:pPr>
        <w:rPr>
          <w:color w:val="000000"/>
        </w:rPr>
      </w:pPr>
      <w:r w:rsidRPr="001E74FE">
        <w:rPr>
          <w:b/>
          <w:color w:val="000000"/>
        </w:rPr>
        <w:lastRenderedPageBreak/>
        <w:t>INTRODUCED</w:t>
      </w:r>
      <w:r w:rsidRPr="001E74FE">
        <w:rPr>
          <w:color w:val="000000"/>
        </w:rPr>
        <w:t xml:space="preserve"> on first reading the </w:t>
      </w:r>
      <w:r w:rsidR="001D2AE9">
        <w:rPr>
          <w:color w:val="000000"/>
        </w:rPr>
        <w:t>3</w:t>
      </w:r>
      <w:r w:rsidR="001D2AE9" w:rsidRPr="001D2AE9">
        <w:rPr>
          <w:color w:val="000000"/>
          <w:vertAlign w:val="superscript"/>
        </w:rPr>
        <w:t>rd</w:t>
      </w:r>
      <w:r w:rsidR="001D2AE9">
        <w:rPr>
          <w:color w:val="000000"/>
        </w:rPr>
        <w:t xml:space="preserve"> </w:t>
      </w:r>
      <w:r w:rsidRPr="001E74FE">
        <w:rPr>
          <w:color w:val="000000"/>
        </w:rPr>
        <w:t xml:space="preserve">day of </w:t>
      </w:r>
      <w:r w:rsidR="001D2AE9">
        <w:rPr>
          <w:color w:val="000000"/>
        </w:rPr>
        <w:t>May</w:t>
      </w:r>
      <w:r w:rsidRPr="001E74FE">
        <w:rPr>
          <w:color w:val="000000"/>
        </w:rPr>
        <w:t>, 201</w:t>
      </w:r>
      <w:r>
        <w:rPr>
          <w:color w:val="000000"/>
        </w:rPr>
        <w:t>7</w:t>
      </w:r>
      <w:r w:rsidRPr="001E74FE">
        <w:rPr>
          <w:color w:val="000000"/>
        </w:rPr>
        <w:t xml:space="preserve"> and ordered published in pamphlet form.</w:t>
      </w:r>
    </w:p>
    <w:p w:rsidR="001F695C" w:rsidRPr="001E74FE" w:rsidRDefault="001F695C" w:rsidP="001F695C">
      <w:pPr>
        <w:rPr>
          <w:color w:val="000000"/>
        </w:rPr>
      </w:pPr>
    </w:p>
    <w:p w:rsidR="001F695C" w:rsidRPr="001E74FE" w:rsidRDefault="001F695C" w:rsidP="001F695C">
      <w:pPr>
        <w:rPr>
          <w:color w:val="000000"/>
        </w:rPr>
      </w:pPr>
      <w:r w:rsidRPr="001E74FE">
        <w:rPr>
          <w:b/>
          <w:color w:val="000000"/>
        </w:rPr>
        <w:t>PASSED and ADOPTED</w:t>
      </w:r>
      <w:r w:rsidRPr="001E74FE">
        <w:rPr>
          <w:color w:val="000000"/>
        </w:rPr>
        <w:t xml:space="preserve"> on second reading the </w:t>
      </w:r>
      <w:r w:rsidR="001D2AE9">
        <w:rPr>
          <w:color w:val="000000"/>
        </w:rPr>
        <w:t>17</w:t>
      </w:r>
      <w:r w:rsidR="001D2AE9" w:rsidRPr="001D2AE9">
        <w:rPr>
          <w:color w:val="000000"/>
          <w:vertAlign w:val="superscript"/>
        </w:rPr>
        <w:t>th</w:t>
      </w:r>
      <w:r w:rsidR="001D2AE9">
        <w:rPr>
          <w:color w:val="000000"/>
        </w:rPr>
        <w:t xml:space="preserve"> </w:t>
      </w:r>
      <w:r w:rsidRPr="001E74FE">
        <w:rPr>
          <w:color w:val="000000"/>
        </w:rPr>
        <w:t xml:space="preserve">day of </w:t>
      </w:r>
      <w:r w:rsidR="001D2AE9">
        <w:rPr>
          <w:color w:val="000000"/>
        </w:rPr>
        <w:t>May</w:t>
      </w:r>
      <w:r w:rsidRPr="001E74FE">
        <w:rPr>
          <w:color w:val="000000"/>
        </w:rPr>
        <w:t>, 201</w:t>
      </w:r>
      <w:r>
        <w:rPr>
          <w:color w:val="000000"/>
        </w:rPr>
        <w:t>7</w:t>
      </w:r>
      <w:r w:rsidR="00743F3F">
        <w:rPr>
          <w:color w:val="000000"/>
        </w:rPr>
        <w:t xml:space="preserve"> </w:t>
      </w:r>
      <w:r w:rsidRPr="001E74FE">
        <w:rPr>
          <w:color w:val="000000"/>
        </w:rPr>
        <w:t>and ordered published in pamphlet form.</w:t>
      </w:r>
    </w:p>
    <w:p w:rsidR="001F695C" w:rsidRPr="001E74FE" w:rsidRDefault="001F695C" w:rsidP="001F695C">
      <w:pPr>
        <w:rPr>
          <w:rFonts w:eastAsia="Calibri"/>
          <w:szCs w:val="22"/>
        </w:rPr>
      </w:pPr>
    </w:p>
    <w:p w:rsidR="001F695C" w:rsidRPr="00F54B8A" w:rsidRDefault="001F695C" w:rsidP="001F695C">
      <w:pPr>
        <w:suppressAutoHyphens/>
        <w:rPr>
          <w:rFonts w:cs="Arial"/>
          <w:szCs w:val="24"/>
        </w:rPr>
      </w:pPr>
    </w:p>
    <w:p w:rsidR="001F695C" w:rsidRPr="00F54B8A" w:rsidRDefault="001F695C" w:rsidP="001F695C">
      <w:pPr>
        <w:suppressAutoHyphens/>
        <w:rPr>
          <w:rFonts w:cs="Arial"/>
          <w:szCs w:val="24"/>
        </w:rPr>
      </w:pPr>
      <w:r w:rsidRPr="00F54B8A">
        <w:rPr>
          <w:rFonts w:cs="Arial"/>
          <w:szCs w:val="24"/>
        </w:rPr>
        <w:t>ATTEST:</w:t>
      </w:r>
    </w:p>
    <w:p w:rsidR="001F695C" w:rsidRDefault="001F695C" w:rsidP="001F695C">
      <w:pPr>
        <w:suppressAutoHyphens/>
        <w:rPr>
          <w:rFonts w:cs="Arial"/>
          <w:szCs w:val="24"/>
        </w:rPr>
      </w:pPr>
    </w:p>
    <w:p w:rsidR="001D2AE9" w:rsidRDefault="001D2AE9" w:rsidP="001F695C">
      <w:pPr>
        <w:suppressAutoHyphens/>
        <w:rPr>
          <w:rFonts w:cs="Arial"/>
          <w:szCs w:val="24"/>
        </w:rPr>
      </w:pPr>
    </w:p>
    <w:p w:rsidR="001D2AE9" w:rsidRPr="00F54B8A" w:rsidRDefault="001D2AE9" w:rsidP="001F695C">
      <w:pPr>
        <w:suppressAutoHyphens/>
        <w:rPr>
          <w:rFonts w:cs="Arial"/>
          <w:szCs w:val="24"/>
        </w:rPr>
      </w:pPr>
      <w:r>
        <w:rPr>
          <w:rFonts w:cs="Arial"/>
          <w:szCs w:val="24"/>
        </w:rPr>
        <w:t>/s/:  Stephanie Tuin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/s/:  J. Merrick Taggart</w:t>
      </w:r>
    </w:p>
    <w:p w:rsidR="001F695C" w:rsidRPr="00F54B8A" w:rsidRDefault="001F695C" w:rsidP="001F695C">
      <w:pPr>
        <w:suppressAutoHyphens/>
        <w:rPr>
          <w:rFonts w:cs="Arial"/>
          <w:szCs w:val="24"/>
        </w:rPr>
      </w:pPr>
      <w:r w:rsidRPr="00F54B8A">
        <w:rPr>
          <w:rFonts w:cs="Arial"/>
          <w:szCs w:val="24"/>
        </w:rPr>
        <w:t>City Clerk</w:t>
      </w:r>
      <w:r>
        <w:rPr>
          <w:rFonts w:cs="Arial"/>
          <w:szCs w:val="24"/>
        </w:rPr>
        <w:t xml:space="preserve">                                                            President of the Council</w:t>
      </w:r>
    </w:p>
    <w:p w:rsidR="001F695C" w:rsidRDefault="001F695C" w:rsidP="001F695C"/>
    <w:p w:rsidR="001F695C" w:rsidRDefault="001F695C" w:rsidP="001F695C">
      <w:pPr>
        <w:rPr>
          <w:szCs w:val="24"/>
        </w:rPr>
      </w:pPr>
    </w:p>
    <w:p w:rsidR="001F695C" w:rsidRDefault="001F695C" w:rsidP="001F695C"/>
    <w:p w:rsidR="001F695C" w:rsidRPr="00A546D0" w:rsidRDefault="001F695C" w:rsidP="001F695C">
      <w:pPr>
        <w:rPr>
          <w:b/>
        </w:rPr>
      </w:pPr>
    </w:p>
    <w:p w:rsidR="00BC5E9D" w:rsidRDefault="00BC5E9D"/>
    <w:sectPr w:rsidR="00BC5E9D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441" w:rsidRDefault="00576441">
      <w:r>
        <w:separator/>
      </w:r>
    </w:p>
  </w:endnote>
  <w:endnote w:type="continuationSeparator" w:id="0">
    <w:p w:rsidR="00576441" w:rsidRDefault="0057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82" w:rsidRDefault="001F695C" w:rsidP="001F5F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67082" w:rsidRDefault="009E5500" w:rsidP="001F5F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082" w:rsidRDefault="009E5500" w:rsidP="001F5F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441" w:rsidRDefault="00576441">
      <w:r>
        <w:separator/>
      </w:r>
    </w:p>
  </w:footnote>
  <w:footnote w:type="continuationSeparator" w:id="0">
    <w:p w:rsidR="00576441" w:rsidRDefault="00576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D0F0F"/>
    <w:multiLevelType w:val="hybridMultilevel"/>
    <w:tmpl w:val="A830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5C"/>
    <w:rsid w:val="00112D74"/>
    <w:rsid w:val="001D2AE9"/>
    <w:rsid w:val="001F695C"/>
    <w:rsid w:val="00532786"/>
    <w:rsid w:val="00576441"/>
    <w:rsid w:val="00743F3F"/>
    <w:rsid w:val="009E5500"/>
    <w:rsid w:val="00BC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957C1E9"/>
  <w15:chartTrackingRefBased/>
  <w15:docId w15:val="{42211ED2-0CAA-4B3E-8011-4B37C1495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F695C"/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F695C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1F695C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1F695C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F695C"/>
    <w:rPr>
      <w:rFonts w:ascii="Times New Roman" w:eastAsia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1F695C"/>
    <w:rPr>
      <w:rFonts w:ascii="Courier" w:hAnsi="Courier"/>
    </w:rPr>
  </w:style>
  <w:style w:type="character" w:customStyle="1" w:styleId="EndnoteTextChar">
    <w:name w:val="Endnote Text Char"/>
    <w:basedOn w:val="DefaultParagraphFont"/>
    <w:link w:val="EndnoteText"/>
    <w:semiHidden/>
    <w:rsid w:val="001F695C"/>
    <w:rPr>
      <w:rFonts w:ascii="Courier" w:eastAsia="Times New Roman" w:hAnsi="Courier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F695C"/>
    <w:pPr>
      <w:ind w:left="720"/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1F695C"/>
  </w:style>
  <w:style w:type="table" w:styleId="TableGrid">
    <w:name w:val="Table Grid"/>
    <w:basedOn w:val="TableNormal"/>
    <w:rsid w:val="001F695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2A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AE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Portner</dc:creator>
  <cp:keywords/>
  <dc:description/>
  <cp:lastModifiedBy>Juanita Peterson</cp:lastModifiedBy>
  <cp:revision>5</cp:revision>
  <cp:lastPrinted>2017-05-19T20:21:00Z</cp:lastPrinted>
  <dcterms:created xsi:type="dcterms:W3CDTF">2017-05-10T15:43:00Z</dcterms:created>
  <dcterms:modified xsi:type="dcterms:W3CDTF">2017-05-19T20:21:00Z</dcterms:modified>
</cp:coreProperties>
</file>